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4381" w:rsidRDefault="00D94381">
      <w:pPr>
        <w:spacing w:after="0" w:line="240" w:lineRule="auto"/>
      </w:pPr>
    </w:p>
    <w:p w:rsidR="00D94381" w:rsidRDefault="00D94381">
      <w:pPr>
        <w:spacing w:after="0" w:line="240" w:lineRule="auto"/>
        <w:rPr>
          <w:b/>
          <w:bCs/>
          <w:sz w:val="32"/>
          <w:szCs w:val="28"/>
        </w:rPr>
      </w:pPr>
    </w:p>
    <w:p w:rsidR="00D94381" w:rsidRDefault="00D94381" w:rsidP="00D94381">
      <w:pPr>
        <w:rPr>
          <w:b/>
          <w:sz w:val="52"/>
          <w:szCs w:val="52"/>
        </w:rPr>
      </w:pPr>
    </w:p>
    <w:p w:rsidR="00D94381" w:rsidRDefault="00D94381" w:rsidP="00D94381">
      <w:pPr>
        <w:rPr>
          <w:b/>
          <w:sz w:val="52"/>
          <w:szCs w:val="52"/>
        </w:rPr>
      </w:pPr>
    </w:p>
    <w:p w:rsidR="00D94381" w:rsidRDefault="00D94381" w:rsidP="00D94381">
      <w:pPr>
        <w:rPr>
          <w:b/>
          <w:sz w:val="52"/>
          <w:szCs w:val="52"/>
        </w:rPr>
      </w:pPr>
    </w:p>
    <w:p w:rsidR="00D94381" w:rsidRPr="00404AA6" w:rsidRDefault="0027045C" w:rsidP="00D94381">
      <w:pPr>
        <w:rPr>
          <w:b/>
          <w:sz w:val="52"/>
          <w:szCs w:val="52"/>
        </w:rPr>
      </w:pPr>
      <w:r>
        <w:rPr>
          <w:b/>
          <w:sz w:val="52"/>
          <w:szCs w:val="52"/>
        </w:rPr>
        <w:t>4 Optimierungsziel</w:t>
      </w:r>
      <w:r w:rsidR="00C9375A">
        <w:rPr>
          <w:b/>
          <w:sz w:val="52"/>
          <w:szCs w:val="52"/>
        </w:rPr>
        <w:t xml:space="preserve">, </w:t>
      </w:r>
      <w:r>
        <w:rPr>
          <w:b/>
          <w:sz w:val="52"/>
          <w:szCs w:val="52"/>
        </w:rPr>
        <w:t>Grundlagen und Bewertungskriterien</w:t>
      </w:r>
    </w:p>
    <w:p w:rsidR="00D94381" w:rsidRDefault="00D94381" w:rsidP="00D94381">
      <w:pPr>
        <w:pStyle w:val="Untertitel"/>
      </w:pPr>
    </w:p>
    <w:p w:rsidR="00D94381" w:rsidRDefault="00D94381" w:rsidP="00D94381">
      <w:pPr>
        <w:pStyle w:val="Textkrper"/>
      </w:pPr>
    </w:p>
    <w:p w:rsidR="00D94381" w:rsidRPr="00AA659A" w:rsidRDefault="00D94381" w:rsidP="00D94381">
      <w:pPr>
        <w:pStyle w:val="Textkrper"/>
      </w:pPr>
    </w:p>
    <w:p w:rsidR="00D94381" w:rsidRPr="00BF6DBB" w:rsidRDefault="00BF6DBB" w:rsidP="003040B0">
      <w:pPr>
        <w:rPr>
          <w:i/>
        </w:rPr>
      </w:pPr>
      <w:r>
        <w:tab/>
      </w:r>
      <w:r w:rsidRPr="00A800ED">
        <w:tab/>
      </w:r>
    </w:p>
    <w:p w:rsidR="00BF6DBB" w:rsidRDefault="00BF6DBB">
      <w:pPr>
        <w:spacing w:after="0" w:line="240" w:lineRule="auto"/>
        <w:rPr>
          <w:b/>
          <w:bCs/>
          <w:sz w:val="32"/>
          <w:szCs w:val="28"/>
        </w:rPr>
      </w:pPr>
      <w:r>
        <w:rPr>
          <w:b/>
          <w:bCs/>
          <w:sz w:val="32"/>
          <w:szCs w:val="28"/>
        </w:rPr>
        <w:br w:type="page"/>
      </w:r>
    </w:p>
    <w:p w:rsidR="00BF6DBB" w:rsidRDefault="00BF6DBB" w:rsidP="00BF6DBB">
      <w:pPr>
        <w:spacing w:after="0" w:line="240" w:lineRule="auto"/>
        <w:rPr>
          <w:b/>
          <w:bCs/>
          <w:sz w:val="32"/>
          <w:szCs w:val="28"/>
        </w:rPr>
      </w:pPr>
    </w:p>
    <w:bookmarkStart w:id="0" w:name="_Toc279732879" w:displacedByCustomXml="next"/>
    <w:sdt>
      <w:sdtPr>
        <w:rPr>
          <w:rFonts w:ascii="Arial" w:eastAsia="Times New Roman" w:hAnsi="Arial" w:cs="Times New Roman"/>
          <w:b w:val="0"/>
          <w:bCs w:val="0"/>
          <w:color w:val="auto"/>
          <w:sz w:val="22"/>
          <w:szCs w:val="22"/>
          <w:lang w:eastAsia="de-DE"/>
        </w:rPr>
        <w:id w:val="864921"/>
        <w:docPartObj>
          <w:docPartGallery w:val="Table of Contents"/>
          <w:docPartUnique/>
        </w:docPartObj>
      </w:sdtPr>
      <w:sdtContent>
        <w:p w:rsidR="00BF6DBB" w:rsidRDefault="00BF6DBB">
          <w:pPr>
            <w:pStyle w:val="Inhaltsverzeichnisberschrift0"/>
          </w:pPr>
          <w:r>
            <w:t>Inhalt</w:t>
          </w:r>
        </w:p>
        <w:p w:rsidR="0089113A" w:rsidRDefault="0083431E">
          <w:pPr>
            <w:pStyle w:val="Verzeichnis1"/>
            <w:tabs>
              <w:tab w:val="left" w:pos="566"/>
            </w:tabs>
            <w:rPr>
              <w:rFonts w:asciiTheme="minorHAnsi" w:eastAsiaTheme="minorEastAsia" w:hAnsiTheme="minorHAnsi" w:cstheme="minorBidi"/>
              <w:b w:val="0"/>
              <w:noProof/>
              <w:sz w:val="22"/>
              <w:lang w:val="de-AT" w:eastAsia="de-AT"/>
            </w:rPr>
          </w:pPr>
          <w:r>
            <w:fldChar w:fldCharType="begin"/>
          </w:r>
          <w:r w:rsidR="00BF6DBB">
            <w:instrText xml:space="preserve"> TOC \o "1-3" \h \z \u </w:instrText>
          </w:r>
          <w:r>
            <w:fldChar w:fldCharType="separate"/>
          </w:r>
          <w:hyperlink w:anchor="_Toc443568848" w:history="1">
            <w:r w:rsidR="0089113A" w:rsidRPr="00135401">
              <w:rPr>
                <w:rStyle w:val="Hyperlink"/>
                <w:noProof/>
              </w:rPr>
              <w:t>1</w:t>
            </w:r>
            <w:r w:rsidR="0089113A">
              <w:rPr>
                <w:rFonts w:asciiTheme="minorHAnsi" w:eastAsiaTheme="minorEastAsia" w:hAnsiTheme="minorHAnsi" w:cstheme="minorBidi"/>
                <w:b w:val="0"/>
                <w:noProof/>
                <w:sz w:val="22"/>
                <w:lang w:val="de-AT" w:eastAsia="de-AT"/>
              </w:rPr>
              <w:tab/>
            </w:r>
            <w:r w:rsidR="0089113A" w:rsidRPr="00135401">
              <w:rPr>
                <w:rStyle w:val="Hyperlink"/>
                <w:noProof/>
              </w:rPr>
              <w:t>Optimierungsziel, Grundlagen und Bewertungskriterien</w:t>
            </w:r>
            <w:r w:rsidR="0089113A">
              <w:rPr>
                <w:noProof/>
                <w:webHidden/>
              </w:rPr>
              <w:tab/>
            </w:r>
            <w:r w:rsidR="0089113A">
              <w:rPr>
                <w:noProof/>
                <w:webHidden/>
              </w:rPr>
              <w:fldChar w:fldCharType="begin"/>
            </w:r>
            <w:r w:rsidR="0089113A">
              <w:rPr>
                <w:noProof/>
                <w:webHidden/>
              </w:rPr>
              <w:instrText xml:space="preserve"> PAGEREF _Toc443568848 \h </w:instrText>
            </w:r>
            <w:r w:rsidR="0089113A">
              <w:rPr>
                <w:noProof/>
                <w:webHidden/>
              </w:rPr>
            </w:r>
            <w:r w:rsidR="0089113A">
              <w:rPr>
                <w:noProof/>
                <w:webHidden/>
              </w:rPr>
              <w:fldChar w:fldCharType="separate"/>
            </w:r>
            <w:r w:rsidR="00C10B8B">
              <w:rPr>
                <w:noProof/>
                <w:webHidden/>
              </w:rPr>
              <w:t>3</w:t>
            </w:r>
            <w:r w:rsidR="0089113A">
              <w:rPr>
                <w:noProof/>
                <w:webHidden/>
              </w:rPr>
              <w:fldChar w:fldCharType="end"/>
            </w:r>
          </w:hyperlink>
        </w:p>
        <w:p w:rsidR="0089113A" w:rsidRDefault="0057391F">
          <w:pPr>
            <w:pStyle w:val="Verzeichnis2"/>
            <w:tabs>
              <w:tab w:val="left" w:pos="849"/>
            </w:tabs>
            <w:rPr>
              <w:rFonts w:asciiTheme="minorHAnsi" w:eastAsiaTheme="minorEastAsia" w:hAnsiTheme="minorHAnsi" w:cstheme="minorBidi"/>
              <w:b w:val="0"/>
              <w:i w:val="0"/>
              <w:noProof/>
              <w:lang w:val="de-AT" w:eastAsia="de-AT"/>
            </w:rPr>
          </w:pPr>
          <w:hyperlink w:anchor="_Toc443568849" w:history="1">
            <w:r w:rsidR="0089113A" w:rsidRPr="00135401">
              <w:rPr>
                <w:rStyle w:val="Hyperlink"/>
                <w:noProof/>
              </w:rPr>
              <w:t>1.1</w:t>
            </w:r>
            <w:r w:rsidR="0089113A">
              <w:rPr>
                <w:rFonts w:asciiTheme="minorHAnsi" w:eastAsiaTheme="minorEastAsia" w:hAnsiTheme="minorHAnsi" w:cstheme="minorBidi"/>
                <w:b w:val="0"/>
                <w:i w:val="0"/>
                <w:noProof/>
                <w:lang w:val="de-AT" w:eastAsia="de-AT"/>
              </w:rPr>
              <w:tab/>
            </w:r>
            <w:r w:rsidR="0089113A" w:rsidRPr="00135401">
              <w:rPr>
                <w:rStyle w:val="Hyperlink"/>
                <w:noProof/>
              </w:rPr>
              <w:t>Bewertungskriterien</w:t>
            </w:r>
            <w:r w:rsidR="0089113A">
              <w:rPr>
                <w:noProof/>
                <w:webHidden/>
              </w:rPr>
              <w:tab/>
            </w:r>
            <w:r w:rsidR="0089113A">
              <w:rPr>
                <w:noProof/>
                <w:webHidden/>
              </w:rPr>
              <w:fldChar w:fldCharType="begin"/>
            </w:r>
            <w:r w:rsidR="0089113A">
              <w:rPr>
                <w:noProof/>
                <w:webHidden/>
              </w:rPr>
              <w:instrText xml:space="preserve"> PAGEREF _Toc443568849 \h </w:instrText>
            </w:r>
            <w:r w:rsidR="0089113A">
              <w:rPr>
                <w:noProof/>
                <w:webHidden/>
              </w:rPr>
            </w:r>
            <w:r w:rsidR="0089113A">
              <w:rPr>
                <w:noProof/>
                <w:webHidden/>
              </w:rPr>
              <w:fldChar w:fldCharType="separate"/>
            </w:r>
            <w:r w:rsidR="00C10B8B">
              <w:rPr>
                <w:noProof/>
                <w:webHidden/>
              </w:rPr>
              <w:t>3</w:t>
            </w:r>
            <w:r w:rsidR="0089113A">
              <w:rPr>
                <w:noProof/>
                <w:webHidden/>
              </w:rPr>
              <w:fldChar w:fldCharType="end"/>
            </w:r>
          </w:hyperlink>
        </w:p>
        <w:p w:rsidR="0089113A" w:rsidRDefault="0057391F">
          <w:pPr>
            <w:pStyle w:val="Verzeichnis3"/>
            <w:tabs>
              <w:tab w:val="left" w:pos="1320"/>
            </w:tabs>
            <w:rPr>
              <w:rFonts w:asciiTheme="minorHAnsi" w:eastAsiaTheme="minorEastAsia" w:hAnsiTheme="minorHAnsi" w:cstheme="minorBidi"/>
              <w:noProof/>
              <w:lang w:val="de-AT" w:eastAsia="de-AT"/>
            </w:rPr>
          </w:pPr>
          <w:hyperlink w:anchor="_Toc443568850" w:history="1">
            <w:r w:rsidR="0089113A" w:rsidRPr="00135401">
              <w:rPr>
                <w:rStyle w:val="Hyperlink"/>
                <w:noProof/>
              </w:rPr>
              <w:t>1.1.1</w:t>
            </w:r>
            <w:r w:rsidR="0089113A">
              <w:rPr>
                <w:rFonts w:asciiTheme="minorHAnsi" w:eastAsiaTheme="minorEastAsia" w:hAnsiTheme="minorHAnsi" w:cstheme="minorBidi"/>
                <w:noProof/>
                <w:lang w:val="de-AT" w:eastAsia="de-AT"/>
              </w:rPr>
              <w:tab/>
            </w:r>
            <w:r w:rsidR="0089113A" w:rsidRPr="00135401">
              <w:rPr>
                <w:rStyle w:val="Hyperlink"/>
                <w:noProof/>
              </w:rPr>
              <w:t>Einfluss des Raumklimas auf die Innendämmung</w:t>
            </w:r>
            <w:r w:rsidR="0089113A">
              <w:rPr>
                <w:noProof/>
                <w:webHidden/>
              </w:rPr>
              <w:tab/>
            </w:r>
            <w:r w:rsidR="0089113A">
              <w:rPr>
                <w:noProof/>
                <w:webHidden/>
              </w:rPr>
              <w:fldChar w:fldCharType="begin"/>
            </w:r>
            <w:r w:rsidR="0089113A">
              <w:rPr>
                <w:noProof/>
                <w:webHidden/>
              </w:rPr>
              <w:instrText xml:space="preserve"> PAGEREF _Toc443568850 \h </w:instrText>
            </w:r>
            <w:r w:rsidR="0089113A">
              <w:rPr>
                <w:noProof/>
                <w:webHidden/>
              </w:rPr>
            </w:r>
            <w:r w:rsidR="0089113A">
              <w:rPr>
                <w:noProof/>
                <w:webHidden/>
              </w:rPr>
              <w:fldChar w:fldCharType="separate"/>
            </w:r>
            <w:r w:rsidR="00C10B8B">
              <w:rPr>
                <w:noProof/>
                <w:webHidden/>
              </w:rPr>
              <w:t>3</w:t>
            </w:r>
            <w:r w:rsidR="0089113A">
              <w:rPr>
                <w:noProof/>
                <w:webHidden/>
              </w:rPr>
              <w:fldChar w:fldCharType="end"/>
            </w:r>
          </w:hyperlink>
        </w:p>
        <w:p w:rsidR="0089113A" w:rsidRDefault="0057391F">
          <w:pPr>
            <w:pStyle w:val="Verzeichnis3"/>
            <w:tabs>
              <w:tab w:val="left" w:pos="1320"/>
            </w:tabs>
            <w:rPr>
              <w:rFonts w:asciiTheme="minorHAnsi" w:eastAsiaTheme="minorEastAsia" w:hAnsiTheme="minorHAnsi" w:cstheme="minorBidi"/>
              <w:noProof/>
              <w:lang w:val="de-AT" w:eastAsia="de-AT"/>
            </w:rPr>
          </w:pPr>
          <w:hyperlink w:anchor="_Toc443568851" w:history="1">
            <w:r w:rsidR="0089113A" w:rsidRPr="00135401">
              <w:rPr>
                <w:rStyle w:val="Hyperlink"/>
                <w:noProof/>
              </w:rPr>
              <w:t>1.1.2</w:t>
            </w:r>
            <w:r w:rsidR="0089113A">
              <w:rPr>
                <w:rFonts w:asciiTheme="minorHAnsi" w:eastAsiaTheme="minorEastAsia" w:hAnsiTheme="minorHAnsi" w:cstheme="minorBidi"/>
                <w:noProof/>
                <w:lang w:val="de-AT" w:eastAsia="de-AT"/>
              </w:rPr>
              <w:tab/>
            </w:r>
            <w:r w:rsidR="0089113A" w:rsidRPr="00135401">
              <w:rPr>
                <w:rStyle w:val="Hyperlink"/>
                <w:noProof/>
              </w:rPr>
              <w:t>Einfluss der Innendämmung auf das Raumklima</w:t>
            </w:r>
            <w:r w:rsidR="0089113A">
              <w:rPr>
                <w:noProof/>
                <w:webHidden/>
              </w:rPr>
              <w:tab/>
            </w:r>
            <w:r w:rsidR="0089113A">
              <w:rPr>
                <w:noProof/>
                <w:webHidden/>
              </w:rPr>
              <w:fldChar w:fldCharType="begin"/>
            </w:r>
            <w:r w:rsidR="0089113A">
              <w:rPr>
                <w:noProof/>
                <w:webHidden/>
              </w:rPr>
              <w:instrText xml:space="preserve"> PAGEREF _Toc443568851 \h </w:instrText>
            </w:r>
            <w:r w:rsidR="0089113A">
              <w:rPr>
                <w:noProof/>
                <w:webHidden/>
              </w:rPr>
            </w:r>
            <w:r w:rsidR="0089113A">
              <w:rPr>
                <w:noProof/>
                <w:webHidden/>
              </w:rPr>
              <w:fldChar w:fldCharType="separate"/>
            </w:r>
            <w:r w:rsidR="00C10B8B">
              <w:rPr>
                <w:noProof/>
                <w:webHidden/>
              </w:rPr>
              <w:t>3</w:t>
            </w:r>
            <w:r w:rsidR="0089113A">
              <w:rPr>
                <w:noProof/>
                <w:webHidden/>
              </w:rPr>
              <w:fldChar w:fldCharType="end"/>
            </w:r>
          </w:hyperlink>
        </w:p>
        <w:p w:rsidR="00BF6DBB" w:rsidRDefault="0083431E">
          <w:r>
            <w:fldChar w:fldCharType="end"/>
          </w:r>
        </w:p>
      </w:sdtContent>
    </w:sdt>
    <w:p w:rsidR="00BF6DBB" w:rsidRDefault="00BF6DBB">
      <w:pPr>
        <w:spacing w:after="0" w:line="240" w:lineRule="auto"/>
        <w:rPr>
          <w:b/>
          <w:bCs/>
          <w:sz w:val="32"/>
          <w:szCs w:val="28"/>
        </w:rPr>
      </w:pPr>
      <w:r>
        <w:br w:type="page"/>
      </w:r>
    </w:p>
    <w:p w:rsidR="00D94381" w:rsidRDefault="00D94381" w:rsidP="009643DF">
      <w:pPr>
        <w:pStyle w:val="berschrift1"/>
      </w:pPr>
      <w:bookmarkStart w:id="1" w:name="_Toc279732897"/>
      <w:bookmarkStart w:id="2" w:name="_Toc443568848"/>
      <w:bookmarkEnd w:id="0"/>
      <w:r>
        <w:t>Optimierungsziel</w:t>
      </w:r>
      <w:bookmarkEnd w:id="1"/>
      <w:r w:rsidR="00C9375A">
        <w:t xml:space="preserve">, </w:t>
      </w:r>
      <w:r w:rsidR="00293CDF">
        <w:t>Grundlagen und Bewertungskriterien</w:t>
      </w:r>
      <w:bookmarkEnd w:id="2"/>
    </w:p>
    <w:p w:rsidR="00C9375A" w:rsidRDefault="00C9375A" w:rsidP="00C9375A">
      <w:pPr>
        <w:pStyle w:val="berschrift2"/>
      </w:pPr>
      <w:bookmarkStart w:id="3" w:name="_Toc443568849"/>
      <w:r>
        <w:t>Bewertungskriterien</w:t>
      </w:r>
      <w:bookmarkEnd w:id="3"/>
      <w:r>
        <w:t xml:space="preserve"> </w:t>
      </w:r>
    </w:p>
    <w:p w:rsidR="00C9375A" w:rsidRDefault="00C9375A" w:rsidP="00C9375A">
      <w:pPr>
        <w:pStyle w:val="berschrift3"/>
      </w:pPr>
      <w:bookmarkStart w:id="4" w:name="_Toc443568850"/>
      <w:r>
        <w:t>Einfluss des Raumklimas auf die Innendämmung</w:t>
      </w:r>
      <w:bookmarkEnd w:id="4"/>
    </w:p>
    <w:p w:rsidR="00F24764" w:rsidRDefault="00F24764" w:rsidP="00F24764">
      <w:r>
        <w:t>Wärmeschutz im Hochbau Teil 2: Wasserdampfdiffusion und Kondensationsschutz</w:t>
      </w:r>
    </w:p>
    <w:p w:rsidR="00F24764" w:rsidRDefault="00F24764" w:rsidP="00F24764">
      <w:r>
        <w:fldChar w:fldCharType="begin"/>
      </w:r>
      <w:r>
        <w:instrText xml:space="preserve"> ADDIN EN.CITE &lt;EndNote&gt;&lt;Cite&gt;&lt;Author&gt;ÖNorm&lt;/Author&gt;&lt;Year&gt;2003&lt;/Year&gt;&lt;RecNum&gt;10256&lt;/RecNum&gt;&lt;DisplayText&gt;(ÖNorm, 2003)&lt;/DisplayText&gt;&lt;record&gt;&lt;rec-number&gt;10256&lt;/rec-number&gt;&lt;foreign-keys&gt;&lt;key app="EN" db-id="zxrx2rspbdeppzeza5fv0e03vdwxr5svazdr" timestamp="1399967404"&gt;10256&lt;/key&gt;&lt;key app="ENWeb" db-id=""&gt;0&lt;/key&gt;&lt;/foreign-keys&gt;&lt;ref-type name="Journal Article"&gt;17&lt;/ref-type&gt;&lt;contributors&gt;&lt;authors&gt;&lt;author&gt;ÖNorm&lt;/author&gt;&lt;/authors&gt;&lt;/contributors&gt;&lt;titles&gt;&lt;title&gt;ÖNorm B 8110-2 Wärmeschutz im Hochbau - Teil 2: Wasserdampfdiffusion und Kondensationsschutz&lt;/title&gt;&lt;/titles&gt;&lt;dates&gt;&lt;year&gt;2003&lt;/year&gt;&lt;/dates&gt;&lt;urls&gt;&lt;/urls&gt;&lt;/record&gt;&lt;/Cite&gt;&lt;/EndNote&gt;</w:instrText>
      </w:r>
      <w:r>
        <w:fldChar w:fldCharType="separate"/>
      </w:r>
      <w:r>
        <w:rPr>
          <w:noProof/>
        </w:rPr>
        <w:t>(</w:t>
      </w:r>
      <w:hyperlink w:anchor="_ENREF_11" w:tooltip="ÖNorm, 2003 #10256" w:history="1">
        <w:r w:rsidR="00C64325">
          <w:rPr>
            <w:noProof/>
          </w:rPr>
          <w:t>ÖNorm, 2003</w:t>
        </w:r>
      </w:hyperlink>
      <w:r>
        <w:rPr>
          <w:noProof/>
        </w:rPr>
        <w:t>)</w:t>
      </w:r>
      <w:r>
        <w:fldChar w:fldCharType="end"/>
      </w:r>
    </w:p>
    <w:p w:rsidR="00063F60" w:rsidRDefault="00063F60" w:rsidP="00063F60">
      <w:r>
        <w:t>Vorbemerkung</w:t>
      </w:r>
    </w:p>
    <w:p w:rsidR="00063F60" w:rsidRDefault="00063F60" w:rsidP="00FF3D18">
      <w:pPr>
        <w:jc w:val="both"/>
      </w:pPr>
      <w:r w:rsidRPr="005A3FB6">
        <w:rPr>
          <w:highlight w:val="yellow"/>
        </w:rPr>
        <w:t>Bauliche Folgeschäden durch übermäßige Wasserdampfkondensation im Inneren von Bauteilen und erhebliche bauphysikalische Mängel infolge Wasserdampfkondensation an der Oberfläche von Bauteilen mit der dadurch geförderten Schimmelpilzbildung</w:t>
      </w:r>
      <w:r>
        <w:t xml:space="preserve"> sind aus der Alltagspraxis gut bekannt.</w:t>
      </w:r>
    </w:p>
    <w:p w:rsidR="00063F60" w:rsidRDefault="00063F60" w:rsidP="00FF3D18">
      <w:pPr>
        <w:jc w:val="both"/>
      </w:pPr>
      <w:r>
        <w:t xml:space="preserve">Zur </w:t>
      </w:r>
      <w:r w:rsidRPr="005A3FB6">
        <w:rPr>
          <w:highlight w:val="yellow"/>
        </w:rPr>
        <w:t>Vermeidung der damit verbundenen Funktionsminderung der Gebäude und der Folge- und/oder Sanierungskosten</w:t>
      </w:r>
      <w:r>
        <w:t xml:space="preserve"> gibt diese ÖNORM</w:t>
      </w:r>
    </w:p>
    <w:p w:rsidR="00063F60" w:rsidRDefault="00063F60" w:rsidP="00FF3D18">
      <w:pPr>
        <w:jc w:val="both"/>
      </w:pPr>
      <w:r>
        <w:t xml:space="preserve">– </w:t>
      </w:r>
      <w:r w:rsidRPr="005A3FB6">
        <w:rPr>
          <w:highlight w:val="yellow"/>
        </w:rPr>
        <w:t>Planungsgrundlagen für den Entwurf von Baukonstruktionen ohne Wasserdampfkondensation an der Innenwandoberfläche unter Berücksichtigung des Risikos von Schimmelbildung (Vermeidung kritischer Baukonstruktionen, insbesondere von Wärmebrücken) und ohne schädliche Wasserdampfkondensation im Bauteilinneren</w:t>
      </w:r>
    </w:p>
    <w:p w:rsidR="00063F60" w:rsidRDefault="00063F60" w:rsidP="00FF3D18">
      <w:pPr>
        <w:jc w:val="both"/>
      </w:pPr>
      <w:r>
        <w:t xml:space="preserve">– </w:t>
      </w:r>
      <w:r w:rsidRPr="005A3FB6">
        <w:rPr>
          <w:highlight w:val="yellow"/>
        </w:rPr>
        <w:t xml:space="preserve">Grundlagen zur Durchführung der rechnerischen Nachweise über die </w:t>
      </w:r>
      <w:r w:rsidR="008B60E9">
        <w:rPr>
          <w:highlight w:val="yellow"/>
        </w:rPr>
        <w:t>G</w:t>
      </w:r>
      <w:r w:rsidRPr="005A3FB6">
        <w:rPr>
          <w:highlight w:val="yellow"/>
        </w:rPr>
        <w:t>ebrauchstauglichkeit von Baukonstruktionen im Hinblick auf Wasserdampfdiffusion und -kondensation unter Zugrundelegung von Innenluftbedingungen entsprechend der Raumwidmung</w:t>
      </w:r>
      <w:r>
        <w:t xml:space="preserve"> sowie</w:t>
      </w:r>
    </w:p>
    <w:p w:rsidR="00063F60" w:rsidRDefault="00063F60" w:rsidP="00FF3D18">
      <w:pPr>
        <w:jc w:val="both"/>
      </w:pPr>
      <w:r>
        <w:t xml:space="preserve">– Hinweise für die </w:t>
      </w:r>
      <w:r w:rsidRPr="005A3FB6">
        <w:rPr>
          <w:highlight w:val="yellow"/>
        </w:rPr>
        <w:t>Vermeidung schädlicher, weil zu feuchter Innenluftbedingungen</w:t>
      </w:r>
      <w:r>
        <w:t>.</w:t>
      </w:r>
    </w:p>
    <w:p w:rsidR="00063F60" w:rsidRDefault="00063F60" w:rsidP="00FF3D18">
      <w:pPr>
        <w:jc w:val="both"/>
      </w:pPr>
      <w:r>
        <w:t xml:space="preserve">Diese </w:t>
      </w:r>
      <w:r w:rsidRPr="005A3FB6">
        <w:rPr>
          <w:highlight w:val="yellow"/>
        </w:rPr>
        <w:t>Nachweise über die Einhaltung der feuchtigkeitstechnischen Belastbarkeit von Baukonstruktionen einerseits und der Nichtüberschreitung der maximal zulässigen Feuchtigkeitsbelastung durch das Innenraumklima andererseits</w:t>
      </w:r>
      <w:r>
        <w:t xml:space="preserve"> sind im Gewährleistungsfall besonders wichtig. Diese Nachweise ermöglichen die in den Konsumentenschutzgesetzen vorgesehene Freibeweisung der von einem Schadensfall mitbetroffenen Planer, Bauausführenden oder Benützer.</w:t>
      </w:r>
    </w:p>
    <w:p w:rsidR="00F24764" w:rsidRDefault="00F24764" w:rsidP="00F24764">
      <w:pPr>
        <w:pStyle w:val="berschrift5"/>
      </w:pPr>
      <w:r>
        <w:t>Anwendungsbereich</w:t>
      </w:r>
    </w:p>
    <w:p w:rsidR="00F24764" w:rsidRDefault="00F24764" w:rsidP="005A3FB6">
      <w:pPr>
        <w:jc w:val="both"/>
      </w:pPr>
      <w:r>
        <w:t xml:space="preserve">Diese ÖNORM ist für die bauphysikalische Planung von Gebäuden und für den </w:t>
      </w:r>
      <w:r w:rsidRPr="0005646B">
        <w:rPr>
          <w:highlight w:val="yellow"/>
        </w:rPr>
        <w:t>Nachweis der Gebrauchstauglichkeit</w:t>
      </w:r>
      <w:r>
        <w:t xml:space="preserve"> bestehender Gebäude </w:t>
      </w:r>
      <w:r w:rsidRPr="0005646B">
        <w:rPr>
          <w:highlight w:val="yellow"/>
        </w:rPr>
        <w:t>bezüglich der Feuchtigkeitsbeanspruchung aus dem Gebäudeinneren</w:t>
      </w:r>
      <w:r>
        <w:t xml:space="preserve"> anzuwenden.</w:t>
      </w:r>
    </w:p>
    <w:p w:rsidR="00F24764" w:rsidRDefault="00F24764" w:rsidP="005A3FB6">
      <w:pPr>
        <w:jc w:val="both"/>
      </w:pPr>
      <w:r>
        <w:t>Der rechnerische Nachweis ist gemäß den Abschnitten 7 und 8 zu führen.</w:t>
      </w:r>
    </w:p>
    <w:p w:rsidR="00F24764" w:rsidRDefault="00F24764" w:rsidP="005A3FB6">
      <w:pPr>
        <w:jc w:val="both"/>
      </w:pPr>
      <w:r>
        <w:t>Diese ÖNORM enthält im Abschnitt 6 auch Hinweise über die Innenluftbedingungen, die der Berechnung unter Beachtung der Raumwidmung zu Grunde zu legen sind und deren Einhaltung bzw. Begrenzung insbesondere für den Benutzer von Bedeutung ist. Für Wohnungen und Räume vergleichbarer Raumwidmung sind die Innenluftbedingungen in 6.1 festgelegt. Auf diese sollte in Informationsblättern für Wohnungsbenutzer in näher erläuterter Form hingewiesen werden (siehe Beiblatt 4).</w:t>
      </w:r>
    </w:p>
    <w:p w:rsidR="00F24764" w:rsidRDefault="00F24764" w:rsidP="005A3FB6">
      <w:pPr>
        <w:jc w:val="both"/>
      </w:pPr>
      <w:r>
        <w:t>Die Angaben dieser ÖNORM basieren auf bzw. stehen in Übereinstimmung mit ÖNORM EN ISO 13788.</w:t>
      </w:r>
    </w:p>
    <w:p w:rsidR="0005646B" w:rsidRPr="0005646B" w:rsidRDefault="0005646B" w:rsidP="005A3FB6">
      <w:pPr>
        <w:jc w:val="both"/>
        <w:rPr>
          <w:b/>
        </w:rPr>
      </w:pPr>
      <w:r w:rsidRPr="0005646B">
        <w:rPr>
          <w:b/>
        </w:rPr>
        <w:t>3 Allgemeines</w:t>
      </w:r>
    </w:p>
    <w:p w:rsidR="0005646B" w:rsidRDefault="0005646B" w:rsidP="0005646B">
      <w:pPr>
        <w:jc w:val="both"/>
      </w:pPr>
      <w:r>
        <w:t xml:space="preserve">Unter </w:t>
      </w:r>
      <w:r w:rsidRPr="0005646B">
        <w:rPr>
          <w:highlight w:val="yellow"/>
        </w:rPr>
        <w:t>Kondensationsschutz im Hochbau</w:t>
      </w:r>
      <w:r>
        <w:t xml:space="preserve"> sind alle </w:t>
      </w:r>
      <w:r w:rsidRPr="0005646B">
        <w:rPr>
          <w:highlight w:val="yellow"/>
        </w:rPr>
        <w:t>baulichen Maßnahmen</w:t>
      </w:r>
      <w:r>
        <w:t xml:space="preserve"> zu verstehen, die </w:t>
      </w:r>
      <w:r w:rsidRPr="0005646B">
        <w:rPr>
          <w:highlight w:val="yellow"/>
        </w:rPr>
        <w:t>unter den kennzeichnenden Betriebsbedingungen des Innenraumes (Temperatur und Luftfeuchtigkeit)</w:t>
      </w:r>
      <w:r>
        <w:t xml:space="preserve"> und </w:t>
      </w:r>
      <w:r w:rsidRPr="0005646B">
        <w:rPr>
          <w:highlight w:val="yellow"/>
        </w:rPr>
        <w:t>den maßgebenden Außenluftbedingungen (Temperatur und Luftfeuchtigkeit)</w:t>
      </w:r>
    </w:p>
    <w:p w:rsidR="0005646B" w:rsidRDefault="0005646B" w:rsidP="0005646B">
      <w:pPr>
        <w:jc w:val="both"/>
      </w:pPr>
      <w:r>
        <w:t>– eine solche Temperatur an der inneren Oberfläche der Außenbauteile sichern, dass</w:t>
      </w:r>
    </w:p>
    <w:p w:rsidR="0005646B" w:rsidRPr="0005646B" w:rsidRDefault="0005646B" w:rsidP="0005646B">
      <w:pPr>
        <w:jc w:val="both"/>
        <w:rPr>
          <w:highlight w:val="yellow"/>
        </w:rPr>
      </w:pPr>
      <w:r w:rsidRPr="0005646B">
        <w:rPr>
          <w:highlight w:val="yellow"/>
        </w:rPr>
        <w:t>(a) keine Wasserdampfkondensation erfolgt und</w:t>
      </w:r>
    </w:p>
    <w:p w:rsidR="0005646B" w:rsidRDefault="0005646B" w:rsidP="0005646B">
      <w:pPr>
        <w:jc w:val="both"/>
      </w:pPr>
      <w:r w:rsidRPr="0005646B">
        <w:rPr>
          <w:highlight w:val="yellow"/>
        </w:rPr>
        <w:t>(b) Schimmelbildung hintangehalten wird</w:t>
      </w:r>
    </w:p>
    <w:p w:rsidR="0005646B" w:rsidRDefault="0005646B" w:rsidP="0005646B">
      <w:pPr>
        <w:jc w:val="both"/>
      </w:pPr>
      <w:r>
        <w:t xml:space="preserve">– eine </w:t>
      </w:r>
      <w:r w:rsidRPr="0005646B">
        <w:rPr>
          <w:highlight w:val="yellow"/>
        </w:rPr>
        <w:t>schädliche Wasserdampfkondensation im Inneren von Außenbauteilen verhindern</w:t>
      </w:r>
      <w:r>
        <w:t>.</w:t>
      </w:r>
    </w:p>
    <w:p w:rsidR="0005646B" w:rsidRDefault="0005646B" w:rsidP="0005646B">
      <w:pPr>
        <w:jc w:val="both"/>
      </w:pPr>
      <w:r>
        <w:t xml:space="preserve">Die vorliegende ÖNORM gibt </w:t>
      </w:r>
      <w:r w:rsidRPr="0005646B">
        <w:rPr>
          <w:highlight w:val="yellow"/>
        </w:rPr>
        <w:t>für stationäre thermische Zustände</w:t>
      </w:r>
      <w:r>
        <w:t xml:space="preserve"> </w:t>
      </w:r>
      <w:r w:rsidRPr="0005646B">
        <w:rPr>
          <w:highlight w:val="yellow"/>
        </w:rPr>
        <w:t>vereinfachte Rechenverfahren</w:t>
      </w:r>
      <w:r>
        <w:t xml:space="preserve"> für die Bemessung von Bauteilen zur Vermeidung von </w:t>
      </w:r>
      <w:r w:rsidRPr="0005646B">
        <w:rPr>
          <w:highlight w:val="yellow"/>
        </w:rPr>
        <w:t>Kondenswasserbildung bzw. einer die Schimmelbildung fördernden Luftfeuchtigkeit an der inneren Oberfläche von Außenbauteilen für ebene Bereiche mit oberflächenparallelen Baumaterialschichten und für Bereiche mit Wärmebrücken sowie zur Erfassung der Kondensatmenge im Bauteilinneren (nur für ungestörte Bereiche) an.</w:t>
      </w:r>
    </w:p>
    <w:p w:rsidR="0005646B" w:rsidRDefault="0005646B" w:rsidP="0005646B">
      <w:pPr>
        <w:jc w:val="both"/>
      </w:pPr>
      <w:r w:rsidRPr="00FB24C1">
        <w:rPr>
          <w:highlight w:val="yellow"/>
        </w:rPr>
        <w:t>Die Betriebsbedingungen der Innenräume sind entsprechend ihrer Widmung im Zuge der Planung, insbesondere in Abstimmung mit der Heizungs-, Lüftungs- und Klimaanlagenplanung gesondert festzulegen.</w:t>
      </w:r>
    </w:p>
    <w:p w:rsidR="0005646B" w:rsidRDefault="0005646B" w:rsidP="0005646B">
      <w:pPr>
        <w:jc w:val="both"/>
      </w:pPr>
      <w:r w:rsidRPr="00FB24C1">
        <w:rPr>
          <w:highlight w:val="yellow"/>
        </w:rPr>
        <w:t>Für Wohnungen</w:t>
      </w:r>
      <w:r>
        <w:t xml:space="preserve"> und Räume, die eine vergleichbare Widmung aufweisen, </w:t>
      </w:r>
      <w:r w:rsidRPr="00FB24C1">
        <w:rPr>
          <w:highlight w:val="yellow"/>
        </w:rPr>
        <w:t>werden in dieser ÖNORM die Innenluftbedingungen festgelegt</w:t>
      </w:r>
      <w:r>
        <w:t xml:space="preserve">, </w:t>
      </w:r>
      <w:r w:rsidRPr="00FB24C1">
        <w:rPr>
          <w:highlight w:val="yellow"/>
        </w:rPr>
        <w:t>die den Berechnungen zum Nachweis der Erfüllung der Anforderungen zu Grunde zu legen sind</w:t>
      </w:r>
      <w:r>
        <w:t>.</w:t>
      </w:r>
    </w:p>
    <w:p w:rsidR="0005646B" w:rsidRDefault="0005646B" w:rsidP="0005646B">
      <w:pPr>
        <w:jc w:val="both"/>
      </w:pPr>
      <w:r>
        <w:t xml:space="preserve">Dabei wird unterschieden in </w:t>
      </w:r>
      <w:r w:rsidRPr="00FB24C1">
        <w:rPr>
          <w:highlight w:val="yellow"/>
        </w:rPr>
        <w:t>Bedingungen, die der Bemessung zur Vermeidung von Kondenswasserbildung</w:t>
      </w:r>
      <w:r>
        <w:t xml:space="preserve"> zu Grunde zu legen sind, und in </w:t>
      </w:r>
      <w:r w:rsidRPr="00FB24C1">
        <w:rPr>
          <w:highlight w:val="yellow"/>
        </w:rPr>
        <w:t>Bedingungen, die der Bemessung zur Vermeidung von Schimmelbildung</w:t>
      </w:r>
      <w:r>
        <w:t xml:space="preserve"> zu Grunde zu legen sind.</w:t>
      </w:r>
    </w:p>
    <w:p w:rsidR="00FB24C1" w:rsidRDefault="00FB24C1" w:rsidP="00FB24C1">
      <w:pPr>
        <w:jc w:val="both"/>
      </w:pPr>
      <w:r>
        <w:t>ANMERKUNG:</w:t>
      </w:r>
    </w:p>
    <w:p w:rsidR="00FB24C1" w:rsidRDefault="00FB24C1" w:rsidP="00FB24C1">
      <w:pPr>
        <w:jc w:val="both"/>
      </w:pPr>
      <w:r>
        <w:t xml:space="preserve">Nach ÖNORM EN ISO </w:t>
      </w:r>
      <w:r w:rsidRPr="00FB24C1">
        <w:rPr>
          <w:highlight w:val="red"/>
        </w:rPr>
        <w:t>13788 besteht das Risiko eines Schimmelbefalls, wenn die relative Feuchtigkeit an der Bauteiloberfläche über mehrere Tage 80 %</w:t>
      </w:r>
      <w:r>
        <w:t xml:space="preserve"> überschreitet. </w:t>
      </w:r>
      <w:r w:rsidRPr="00FB24C1">
        <w:rPr>
          <w:highlight w:val="yellow"/>
        </w:rPr>
        <w:t>Kondenswasser tritt auf, wenn die relative Luftfeuchtigkeit an der Bauteiloberfläche 100 % beträgt.</w:t>
      </w:r>
    </w:p>
    <w:p w:rsidR="00FB24C1" w:rsidRDefault="00FB24C1" w:rsidP="00FB24C1">
      <w:pPr>
        <w:jc w:val="both"/>
      </w:pPr>
      <w:r>
        <w:t xml:space="preserve">Die </w:t>
      </w:r>
      <w:r w:rsidRPr="00FB24C1">
        <w:rPr>
          <w:highlight w:val="yellow"/>
        </w:rPr>
        <w:t>Außenluftbedingungen werden als Monatsmittelwerte für 7 unterschiedliche Regionen Österreichs für unterschiedliche Seehöhen angegeben</w:t>
      </w:r>
      <w:r>
        <w:t xml:space="preserve">. </w:t>
      </w:r>
      <w:r w:rsidRPr="00FB24C1">
        <w:rPr>
          <w:highlight w:val="yellow"/>
        </w:rPr>
        <w:t>Detailliertere Daten können für einzelne Gebäude eingesetzt werden</w:t>
      </w:r>
      <w:r>
        <w:t>.</w:t>
      </w:r>
    </w:p>
    <w:p w:rsidR="00FB24C1" w:rsidRDefault="00FB24C1" w:rsidP="00FB24C1">
      <w:pPr>
        <w:jc w:val="both"/>
      </w:pPr>
      <w:r>
        <w:t xml:space="preserve">Die Erfüllung der </w:t>
      </w:r>
      <w:r w:rsidRPr="00FB24C1">
        <w:rPr>
          <w:highlight w:val="yellow"/>
        </w:rPr>
        <w:t>Anforderungen gemäß Abschnitt 5</w:t>
      </w:r>
      <w:r>
        <w:t xml:space="preserve"> durch das Bauwerk sichert in der Praxis nur dann die Vermeidung von Kondensationsschäden und Schimmelbildung, wenn vom Benützer darauf geachtet wird, </w:t>
      </w:r>
      <w:r w:rsidRPr="00FB24C1">
        <w:rPr>
          <w:highlight w:val="yellow"/>
        </w:rPr>
        <w:t>dass im gesamten Bereich z.B. einer Wohnung durch Heizung und/oder ausreichende Belüftung sowie entsprechende Möblierung keine ungünstigeren als die der Bemessung zu Grunde gelegten Innenluftbedingungen herrschen.</w:t>
      </w:r>
      <w:r>
        <w:t xml:space="preserve"> Insbesondere ist in diesem Zusammenhang zu beachten, dass die Verteilung des Wasserdampfes (z.B. im Wohnungsverband) in der Regel ohne wesentlichen Widerstand von den normal beheizten zu nicht- oder teilbeheizten Räumen hin erfolgt und dass die Aufnahmefähigkeit der Luft für Wasserdampf mit sinkender Temperatur stark abnimmt (und damit die relative Feuchtigkeit zunimmt); gerade die </w:t>
      </w:r>
      <w:r w:rsidRPr="001005C3">
        <w:rPr>
          <w:highlight w:val="yellow"/>
        </w:rPr>
        <w:t>nicht- oder teilbeheizten Räume sind dadurch besonders gefährdet.</w:t>
      </w:r>
      <w:r>
        <w:t xml:space="preserve"> Die in die Berechnungen eingesetzten Innenluftbedingungen gelten für Gebäude mit dem </w:t>
      </w:r>
      <w:r w:rsidRPr="001005C3">
        <w:rPr>
          <w:highlight w:val="red"/>
        </w:rPr>
        <w:t>praktischen Feuchtigkeitsgehalt von Baustoffen</w:t>
      </w:r>
      <w:r w:rsidRPr="001005C3">
        <w:rPr>
          <w:highlight w:val="yellow"/>
        </w:rPr>
        <w:t>.</w:t>
      </w:r>
      <w:r>
        <w:t xml:space="preserve"> </w:t>
      </w:r>
      <w:r w:rsidRPr="001005C3">
        <w:rPr>
          <w:highlight w:val="red"/>
        </w:rPr>
        <w:t xml:space="preserve">Um eine erhöhte Feuchtigkeitsbelastung zu Beginn der Nutzung zu vermeiden, </w:t>
      </w:r>
      <w:r w:rsidRPr="001005C3">
        <w:rPr>
          <w:highlight w:val="yellow"/>
        </w:rPr>
        <w:t>muss die Austrocknung der Baufeuchtigkeit auf geeignete Weise – der jeweiligen Bauweise entsprechend, durch den Bauzeitplan und in der Regel durch vermehrte Heizung und/oder Lüftung in den ersten Jahren der Benützung – gesichert werden</w:t>
      </w:r>
      <w:r>
        <w:t>.</w:t>
      </w:r>
    </w:p>
    <w:p w:rsidR="001005C3" w:rsidRDefault="001005C3" w:rsidP="001005C3">
      <w:pPr>
        <w:pStyle w:val="berschrift5"/>
      </w:pPr>
      <w:r>
        <w:t>Anforderungen</w:t>
      </w:r>
    </w:p>
    <w:p w:rsidR="001005C3" w:rsidRDefault="001005C3" w:rsidP="001005C3">
      <w:pPr>
        <w:jc w:val="both"/>
      </w:pPr>
      <w:r>
        <w:t>Für Außenbauteile und Bauteile, die Räume mit unterschiedlichen Luftzuständen (Temperatur und relative Feuchtigkeit) trennen, ist nachzuweisen, dass</w:t>
      </w:r>
    </w:p>
    <w:p w:rsidR="001005C3" w:rsidRDefault="001005C3" w:rsidP="001005C3">
      <w:pPr>
        <w:jc w:val="both"/>
      </w:pPr>
      <w:r>
        <w:t xml:space="preserve">– der </w:t>
      </w:r>
      <w:r w:rsidRPr="001005C3">
        <w:rPr>
          <w:highlight w:val="yellow"/>
        </w:rPr>
        <w:t>Wärmeschutz so bemessen ist, dass die Bedingungen zur Vermeidung von Kondenswasserbildung und im Hinblick auf das Risiko von Schimmelbildung an der inneren Oberfläche erfüllt sind</w:t>
      </w:r>
      <w:r>
        <w:t>,</w:t>
      </w:r>
    </w:p>
    <w:p w:rsidR="001005C3" w:rsidRDefault="001005C3" w:rsidP="001005C3">
      <w:pPr>
        <w:jc w:val="both"/>
      </w:pPr>
      <w:r>
        <w:t xml:space="preserve">– </w:t>
      </w:r>
      <w:r w:rsidRPr="001005C3">
        <w:rPr>
          <w:highlight w:val="yellow"/>
        </w:rPr>
        <w:t xml:space="preserve">der Aufbau des Bauteils so bemessen ist, dass </w:t>
      </w:r>
      <w:r w:rsidRPr="001005C3">
        <w:rPr>
          <w:highlight w:val="red"/>
        </w:rPr>
        <w:t>im Inneren des Bauteils keine schädliche Wasserdampfkondensation</w:t>
      </w:r>
      <w:r w:rsidRPr="001005C3">
        <w:rPr>
          <w:highlight w:val="yellow"/>
        </w:rPr>
        <w:t xml:space="preserve"> infolge Wasserdampfdiffusion auftritt</w:t>
      </w:r>
      <w:r>
        <w:t>.</w:t>
      </w:r>
    </w:p>
    <w:p w:rsidR="001005C3" w:rsidRDefault="001005C3" w:rsidP="001005C3">
      <w:pPr>
        <w:jc w:val="both"/>
      </w:pPr>
      <w:r>
        <w:t xml:space="preserve">Bauteile und Bauteilstöße (z.B. bei Fertigteil- und Leichtbauweise) müssen warmseitig </w:t>
      </w:r>
      <w:r w:rsidRPr="001005C3">
        <w:rPr>
          <w:highlight w:val="yellow"/>
        </w:rPr>
        <w:t>dicht abgeschlossen</w:t>
      </w:r>
      <w:r>
        <w:t xml:space="preserve"> sein – erforderlichenfalls durch spezielle konstruktive Maßnahmen –, um zu verhindern, dass Raumluft in die Baukonstruktion eindringt und Wasserdampfkondensation auftritt.</w:t>
      </w:r>
    </w:p>
    <w:p w:rsidR="001005C3" w:rsidRDefault="001005C3" w:rsidP="001005C3">
      <w:pPr>
        <w:jc w:val="both"/>
      </w:pPr>
      <w:r>
        <w:t xml:space="preserve">Zur </w:t>
      </w:r>
      <w:r w:rsidRPr="001005C3">
        <w:rPr>
          <w:highlight w:val="yellow"/>
        </w:rPr>
        <w:t>Vermeidung von Kondenswasserbildung</w:t>
      </w:r>
      <w:r>
        <w:t xml:space="preserve"> an der inneren Oberfläche von Außenbauteilen ist der Wärmeschutz so zu bemessen, dass unter den zutreffenden Innen- und Außenluftbedingungen die </w:t>
      </w:r>
      <w:r w:rsidRPr="001005C3">
        <w:rPr>
          <w:highlight w:val="yellow"/>
        </w:rPr>
        <w:t>Temperatur der inneren Oberfläche nicht unter die Taupunkttemperatur der Innenluft fällt</w:t>
      </w:r>
      <w:r>
        <w:t>.</w:t>
      </w:r>
    </w:p>
    <w:p w:rsidR="001005C3" w:rsidRDefault="001005C3" w:rsidP="001005C3">
      <w:pPr>
        <w:jc w:val="both"/>
      </w:pPr>
      <w:r>
        <w:t xml:space="preserve">Im Hinblick auf das </w:t>
      </w:r>
      <w:r w:rsidRPr="001005C3">
        <w:rPr>
          <w:highlight w:val="yellow"/>
        </w:rPr>
        <w:t>Risiko von Schimmelbildung</w:t>
      </w:r>
      <w:r>
        <w:t xml:space="preserve"> an der inneren Oberfläche ist der Wärmeschutz so zu bemessen, dass unter den zutreffenden Innen- und Außenluftbedingungen </w:t>
      </w:r>
      <w:r w:rsidRPr="001005C3">
        <w:rPr>
          <w:highlight w:val="yellow"/>
        </w:rPr>
        <w:t>die Temperatur der inneren Oberfläche nicht unter die Temperatur abfällt, bei der die Innenluft 80 % relative Feuchtigkeit erreicht</w:t>
      </w:r>
      <w:r>
        <w:t>.</w:t>
      </w:r>
    </w:p>
    <w:p w:rsidR="00747F6D" w:rsidRDefault="00747F6D" w:rsidP="00747F6D">
      <w:pPr>
        <w:jc w:val="both"/>
      </w:pPr>
      <w:r>
        <w:t xml:space="preserve">Zur Vermeidung von schädlicher Kondensation im Inneren von Außenbauteilen ist der Aufbau der Bauteile entsprechend zu bemessen. </w:t>
      </w:r>
      <w:r w:rsidRPr="00747F6D">
        <w:rPr>
          <w:highlight w:val="red"/>
        </w:rPr>
        <w:t>Schädlich ist eine Wasserdampfkondensation, wenn – das Kondenswasser nicht gespeichert werden kann</w:t>
      </w:r>
      <w:r>
        <w:t xml:space="preserve"> </w:t>
      </w:r>
      <w:r w:rsidRPr="00747F6D">
        <w:rPr>
          <w:highlight w:val="yellow"/>
        </w:rPr>
        <w:t xml:space="preserve">(die kondensierte Wasserdampfmenge an Berührungsflächen </w:t>
      </w:r>
      <w:r w:rsidRPr="008B60E9">
        <w:rPr>
          <w:highlight w:val="red"/>
        </w:rPr>
        <w:t>von kapillar nicht oder wenig wasseraufnahmefähigen Schichten (z.B. Berührungsfläche zwischen Luftschicht und Schwerbeton) darf 0,5 kg/m2 nicht überschreiten</w:t>
      </w:r>
      <w:r w:rsidRPr="00747F6D">
        <w:rPr>
          <w:highlight w:val="yellow"/>
        </w:rPr>
        <w:t>)</w:t>
      </w:r>
      <w:r>
        <w:t>;</w:t>
      </w:r>
    </w:p>
    <w:p w:rsidR="00747F6D" w:rsidRDefault="00747F6D" w:rsidP="00747F6D">
      <w:pPr>
        <w:jc w:val="both"/>
      </w:pPr>
      <w:r w:rsidRPr="00747F6D">
        <w:rPr>
          <w:highlight w:val="yellow"/>
        </w:rPr>
        <w:t xml:space="preserve">– das Kondenswasser eine solche Erhöhung des Feuchtigkeitsgehalts </w:t>
      </w:r>
      <w:r w:rsidRPr="008B60E9">
        <w:rPr>
          <w:highlight w:val="red"/>
        </w:rPr>
        <w:t>einer Bauteilschicht</w:t>
      </w:r>
      <w:r w:rsidRPr="00747F6D">
        <w:rPr>
          <w:highlight w:val="yellow"/>
        </w:rPr>
        <w:t xml:space="preserve"> verursacht, dass der </w:t>
      </w:r>
      <w:r w:rsidRPr="00747F6D">
        <w:rPr>
          <w:highlight w:val="red"/>
        </w:rPr>
        <w:t>Wärmedurchlasswiderstand des Bauteils um 10 % oder mehr verringert wird;</w:t>
      </w:r>
    </w:p>
    <w:p w:rsidR="009500C3" w:rsidRDefault="0009528B" w:rsidP="00747F6D">
      <w:pPr>
        <w:jc w:val="both"/>
      </w:pPr>
      <w:r>
        <w:t>Wesentlich ist der Begriff „schädlicher Kondensation“ im Inneren von Außenbauteilen. Eine „schädliche Kondensation“ liegt vor, wenn – das Kondenswasser nicht gespeichert werden kann. Diese Speicherung bezieht sich – da zuvor von Bauteilen gesprochen wurde – auf das gesamte Bauteil – also Ziegelmauerwerk + Innendämmsystem. Geht man davon aus, dass es bei einer kontinuierlichen Auffeuchtung zu einer Verteilung im gesamten Bauteilquerschnitt kommt, so kann für dieses Kriterium als</w:t>
      </w:r>
      <w:r w:rsidR="009B1EC0">
        <w:t xml:space="preserve"> </w:t>
      </w:r>
      <w:r>
        <w:t>Grenzgröße die maximale Wasseraufnahme</w:t>
      </w:r>
      <w:r w:rsidR="009B1EC0">
        <w:t xml:space="preserve"> – beispielsweise für die Mineralschaumplatte – von etwa 950 kg/m³ herangezogen werden. Das Speichervermögen der Gesamtkonstruktion ist weitaus größer</w:t>
      </w:r>
      <w:r w:rsidR="009500C3">
        <w:t xml:space="preserve"> mit der Wasseraufnahme des </w:t>
      </w:r>
      <w:r w:rsidR="009B1EC0">
        <w:t>Außenputz</w:t>
      </w:r>
      <w:r w:rsidR="009500C3">
        <w:t>es</w:t>
      </w:r>
      <w:r w:rsidR="009B1EC0">
        <w:t xml:space="preserve"> </w:t>
      </w:r>
      <w:r w:rsidR="009500C3">
        <w:t>von</w:t>
      </w:r>
      <w:r w:rsidR="009B1EC0">
        <w:t xml:space="preserve"> 500 kg/m³,</w:t>
      </w:r>
      <w:r w:rsidR="009500C3">
        <w:t xml:space="preserve"> des Mauermörtels von 400 kg/m³ und des Ziegels von immerhin noch 350 kg/m³. Bei mineralischen, kapillar wasseraufnahmefähigen Schichten, wie hier betrachtet wird daher das nachfolgend definierte Kriterium ausschlaggebend. </w:t>
      </w:r>
    </w:p>
    <w:p w:rsidR="009500C3" w:rsidRDefault="009500C3" w:rsidP="00747F6D">
      <w:pPr>
        <w:jc w:val="both"/>
      </w:pPr>
      <w:r>
        <w:t xml:space="preserve">Und zwar, dass schädliche Kondensation vorliegt wenn das Kondenswasser zu solch einer Erhöhung des Feuchtigkeitsgehaltes führt, dass der Wärmedurchlasswiderstand des Bauteils um 10 % oder mehr verringert wird. </w:t>
      </w:r>
    </w:p>
    <w:p w:rsidR="0009528B" w:rsidRDefault="009500C3" w:rsidP="00747F6D">
      <w:pPr>
        <w:jc w:val="both"/>
      </w:pPr>
      <w:r>
        <w:t xml:space="preserve">Einen solchen Sachverhalt festzustellen erweist sich allerdings als nicht ganz einfach. Zum einen ist nicht näher definiert, von welchem Wärmedurchlasswiderstand dabei ausgegangen wird. Ein Möglicher Ansatz ist der mit lamdatrocken berechnete Wärmedurchlasswiderstand. </w:t>
      </w:r>
    </w:p>
    <w:p w:rsidR="001126A8" w:rsidRDefault="001126A8" w:rsidP="00747F6D">
      <w:pPr>
        <w:jc w:val="both"/>
      </w:pPr>
      <w:r>
        <w:t>Für die einzelnen Bauteilkomponenten liegen folgende Kenndaten vor</w:t>
      </w:r>
    </w:p>
    <w:p w:rsidR="001126A8" w:rsidRDefault="001126A8" w:rsidP="00747F6D">
      <w:pPr>
        <w:jc w:val="both"/>
      </w:pPr>
      <w:r>
        <w:t xml:space="preserve">0,412 W/mK </w:t>
      </w:r>
      <w:r w:rsidR="00676D92">
        <w:tab/>
      </w:r>
      <w:r>
        <w:t>für Lime Plaster</w:t>
      </w:r>
    </w:p>
    <w:p w:rsidR="00676D92" w:rsidRDefault="00676D92" w:rsidP="00747F6D">
      <w:pPr>
        <w:jc w:val="both"/>
      </w:pPr>
      <w:r>
        <w:t xml:space="preserve">0,801 W/mK </w:t>
      </w:r>
      <w:r>
        <w:tab/>
        <w:t>für Brick</w:t>
      </w:r>
    </w:p>
    <w:p w:rsidR="00676D92" w:rsidRPr="00676D92" w:rsidRDefault="00676D92" w:rsidP="00747F6D">
      <w:pPr>
        <w:jc w:val="both"/>
        <w:rPr>
          <w:lang w:val="de-AT"/>
        </w:rPr>
      </w:pPr>
      <w:r w:rsidRPr="00676D92">
        <w:rPr>
          <w:lang w:val="de-AT"/>
        </w:rPr>
        <w:t xml:space="preserve">0,7 W/mK </w:t>
      </w:r>
      <w:r w:rsidRPr="00676D92">
        <w:rPr>
          <w:lang w:val="de-AT"/>
        </w:rPr>
        <w:tab/>
        <w:t>für Lime Cement Mortar</w:t>
      </w:r>
    </w:p>
    <w:p w:rsidR="00676D92" w:rsidRPr="00676D92" w:rsidRDefault="00676D92" w:rsidP="00747F6D">
      <w:pPr>
        <w:jc w:val="both"/>
        <w:rPr>
          <w:lang w:val="fr-CH"/>
        </w:rPr>
      </w:pPr>
      <w:r w:rsidRPr="00676D92">
        <w:rPr>
          <w:lang w:val="fr-CH"/>
        </w:rPr>
        <w:t xml:space="preserve">0,55 W/mK </w:t>
      </w:r>
      <w:r w:rsidRPr="00676D92">
        <w:rPr>
          <w:lang w:val="fr-CH"/>
        </w:rPr>
        <w:tab/>
        <w:t>für Lime Cement Plaster</w:t>
      </w:r>
    </w:p>
    <w:p w:rsidR="009500C3" w:rsidRPr="00676D92" w:rsidRDefault="00676D92" w:rsidP="00747F6D">
      <w:pPr>
        <w:jc w:val="both"/>
        <w:rPr>
          <w:lang w:val="de-AT"/>
        </w:rPr>
      </w:pPr>
      <w:r w:rsidRPr="00676D92">
        <w:rPr>
          <w:lang w:val="de-AT"/>
        </w:rPr>
        <w:t xml:space="preserve">0,045 W/mK </w:t>
      </w:r>
      <w:r>
        <w:rPr>
          <w:lang w:val="de-AT"/>
        </w:rPr>
        <w:tab/>
      </w:r>
      <w:r w:rsidRPr="00676D92">
        <w:rPr>
          <w:lang w:val="de-AT"/>
        </w:rPr>
        <w:t>für Foam Multipor 045</w:t>
      </w:r>
      <w:r w:rsidR="001126A8" w:rsidRPr="00676D92">
        <w:rPr>
          <w:lang w:val="de-AT"/>
        </w:rPr>
        <w:t xml:space="preserve">  </w:t>
      </w:r>
    </w:p>
    <w:p w:rsidR="00676D92" w:rsidRDefault="00676D92" w:rsidP="00747F6D">
      <w:pPr>
        <w:jc w:val="both"/>
        <w:rPr>
          <w:lang w:val="de-AT"/>
        </w:rPr>
      </w:pPr>
      <w:r>
        <w:rPr>
          <w:lang w:val="de-AT"/>
        </w:rPr>
        <w:t xml:space="preserve">Wird eine komponentenbezogene Verschlechterung des Wärmedurchlasswiderstandes um 10% herangezogen, so ergeben sich folgende maximal zulässigen Wassergehalte in den Komponenten. </w:t>
      </w:r>
    </w:p>
    <w:p w:rsidR="00676D92" w:rsidRDefault="00676D92" w:rsidP="00676D92">
      <w:pPr>
        <w:jc w:val="both"/>
      </w:pPr>
      <w:r>
        <w:t>73 kg/m³</w:t>
      </w:r>
      <w:r>
        <w:t xml:space="preserve"> </w:t>
      </w:r>
      <w:r>
        <w:tab/>
        <w:t>für Lime Plaster</w:t>
      </w:r>
    </w:p>
    <w:p w:rsidR="00676D92" w:rsidRDefault="00676D92" w:rsidP="00676D92">
      <w:pPr>
        <w:jc w:val="both"/>
      </w:pPr>
      <w:r>
        <w:t>143 kg/m³</w:t>
      </w:r>
      <w:r>
        <w:t xml:space="preserve"> </w:t>
      </w:r>
      <w:r>
        <w:tab/>
        <w:t>für Brick</w:t>
      </w:r>
    </w:p>
    <w:p w:rsidR="00676D92" w:rsidRPr="00676D92" w:rsidRDefault="00676D92" w:rsidP="00676D92">
      <w:pPr>
        <w:jc w:val="both"/>
        <w:rPr>
          <w:lang w:val="de-AT"/>
        </w:rPr>
      </w:pPr>
      <w:r w:rsidRPr="00676D92">
        <w:rPr>
          <w:lang w:val="de-AT"/>
        </w:rPr>
        <w:t>125</w:t>
      </w:r>
      <w:r w:rsidRPr="00676D92">
        <w:rPr>
          <w:lang w:val="de-AT"/>
        </w:rPr>
        <w:t xml:space="preserve"> </w:t>
      </w:r>
      <w:r w:rsidRPr="00676D92">
        <w:rPr>
          <w:lang w:val="de-AT"/>
        </w:rPr>
        <w:t>kg/m³</w:t>
      </w:r>
      <w:r w:rsidRPr="00676D92">
        <w:rPr>
          <w:lang w:val="de-AT"/>
        </w:rPr>
        <w:t xml:space="preserve"> </w:t>
      </w:r>
      <w:r w:rsidRPr="00676D92">
        <w:rPr>
          <w:lang w:val="de-AT"/>
        </w:rPr>
        <w:tab/>
        <w:t>für Lime Cement Mortar</w:t>
      </w:r>
    </w:p>
    <w:p w:rsidR="00676D92" w:rsidRPr="00676D92" w:rsidRDefault="00676D92" w:rsidP="00676D92">
      <w:pPr>
        <w:jc w:val="both"/>
        <w:rPr>
          <w:lang w:val="de-AT"/>
        </w:rPr>
      </w:pPr>
      <w:r w:rsidRPr="00676D92">
        <w:rPr>
          <w:lang w:val="de-AT"/>
        </w:rPr>
        <w:t>98 kg/m³</w:t>
      </w:r>
      <w:r w:rsidRPr="00676D92">
        <w:rPr>
          <w:lang w:val="de-AT"/>
        </w:rPr>
        <w:t xml:space="preserve"> </w:t>
      </w:r>
      <w:r w:rsidRPr="00676D92">
        <w:rPr>
          <w:lang w:val="de-AT"/>
        </w:rPr>
        <w:tab/>
        <w:t>für Lime Cement Plaster</w:t>
      </w:r>
    </w:p>
    <w:p w:rsidR="00676D92" w:rsidRPr="00676D92" w:rsidRDefault="00676D92" w:rsidP="00676D92">
      <w:pPr>
        <w:jc w:val="both"/>
        <w:rPr>
          <w:lang w:val="de-AT"/>
        </w:rPr>
      </w:pPr>
      <w:r>
        <w:rPr>
          <w:lang w:val="de-AT"/>
        </w:rPr>
        <w:t>8</w:t>
      </w:r>
      <w:r w:rsidRPr="00676D92">
        <w:rPr>
          <w:lang w:val="de-AT"/>
        </w:rPr>
        <w:t xml:space="preserve"> </w:t>
      </w:r>
      <w:r>
        <w:rPr>
          <w:lang w:val="de-AT"/>
        </w:rPr>
        <w:t>kg/m³</w:t>
      </w:r>
      <w:r w:rsidRPr="00676D92">
        <w:rPr>
          <w:lang w:val="de-AT"/>
        </w:rPr>
        <w:t xml:space="preserve"> </w:t>
      </w:r>
      <w:r>
        <w:rPr>
          <w:lang w:val="de-AT"/>
        </w:rPr>
        <w:tab/>
      </w:r>
      <w:r w:rsidRPr="00676D92">
        <w:rPr>
          <w:lang w:val="de-AT"/>
        </w:rPr>
        <w:t xml:space="preserve">für Foam Multipor 045  </w:t>
      </w:r>
    </w:p>
    <w:p w:rsidR="00134616" w:rsidRDefault="00D72E79" w:rsidP="00747F6D">
      <w:pPr>
        <w:jc w:val="both"/>
        <w:rPr>
          <w:lang w:val="de-AT"/>
        </w:rPr>
      </w:pPr>
      <w:r>
        <w:rPr>
          <w:lang w:val="de-AT"/>
        </w:rPr>
        <w:t xml:space="preserve">Zu beachten ist, dass sich diese Grenzgröße auf das gesamte Bauteil bezieht. Sich die Feuchte in kapillar leitfähigen mineralischen Baustoffen aber im Bauteil verteilt und unabhängig davon in welcher Komponente des Bauteils sich die Feuchte befindet einen unterschiedlichen Einfluss auf den Wärmedurchlasswiderstand hat. </w:t>
      </w:r>
      <w:r w:rsidR="00335DA4">
        <w:rPr>
          <w:lang w:val="de-AT"/>
        </w:rPr>
        <w:t xml:space="preserve">Grundsätzlich ist die Bestimmung dieses Grenzwertes möglich, der dafür erforderliche Aufwand jedoch in </w:t>
      </w:r>
      <w:r w:rsidR="00134616">
        <w:rPr>
          <w:lang w:val="de-AT"/>
        </w:rPr>
        <w:t>der Praxis nicht gerechtfertigt. Hinzu kommt, dass diese Angabe wesentlich vom Bestandsmauerwerk abhängig sind und dafür in der Regel die relevanten Kenngrößen, wie Anteil Mörtel und Ziegel, die Stärke der Bestandswand und die hygrischen Kenngrößen nicht genau bekannt sind. (schlechtes Argument, da ja auch mit diesen Kenngrößen gerechnet wird).</w:t>
      </w:r>
    </w:p>
    <w:p w:rsidR="00335DA4" w:rsidRDefault="00847413" w:rsidP="00747F6D">
      <w:pPr>
        <w:jc w:val="both"/>
        <w:rPr>
          <w:lang w:val="de-AT"/>
        </w:rPr>
      </w:pPr>
      <w:r w:rsidRPr="00847413">
        <w:drawing>
          <wp:inline distT="0" distB="0" distL="0" distR="0" wp14:anchorId="6E427991" wp14:editId="073E9655">
            <wp:extent cx="5760085" cy="1808636"/>
            <wp:effectExtent l="0" t="0" r="0" b="127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085" cy="1808636"/>
                    </a:xfrm>
                    <a:prstGeom prst="rect">
                      <a:avLst/>
                    </a:prstGeom>
                    <a:noFill/>
                    <a:ln>
                      <a:noFill/>
                    </a:ln>
                  </pic:spPr>
                </pic:pic>
              </a:graphicData>
            </a:graphic>
          </wp:inline>
        </w:drawing>
      </w:r>
    </w:p>
    <w:p w:rsidR="001D0EE1" w:rsidRDefault="0083441A" w:rsidP="00747F6D">
      <w:pPr>
        <w:jc w:val="both"/>
        <w:rPr>
          <w:lang w:val="de-AT"/>
        </w:rPr>
      </w:pPr>
      <w:r>
        <w:rPr>
          <w:lang w:val="de-AT"/>
        </w:rPr>
        <w:t xml:space="preserve">Geht man davon aus, dass die Auffeuchtung in der Dämmschicht, bzw. im Grenzbereich zwischen Dämmung </w:t>
      </w:r>
      <w:r w:rsidR="001D0EE1">
        <w:rPr>
          <w:lang w:val="de-AT"/>
        </w:rPr>
        <w:t xml:space="preserve">und Bestandsmauerwerk ausfällt und sich zuerst dort akkumuliert wird können die maximal zulässigen Feuchtegehalte der Komponenten auf die Dämmung angewendet, und die </w:t>
      </w:r>
      <w:r w:rsidR="000F198C">
        <w:rPr>
          <w:lang w:val="de-AT"/>
        </w:rPr>
        <w:t>A</w:t>
      </w:r>
      <w:r w:rsidR="001D0EE1">
        <w:rPr>
          <w:lang w:val="de-AT"/>
        </w:rPr>
        <w:t xml:space="preserve">uffeuchtung der restlichen Komponenten vernachlässigt werden. damit liegt man hinsichtlich des Gesamtgrenzwertes einer Verschlechterung des Wärmedurchlasswiderstandes auf der sicheren Seite. </w:t>
      </w:r>
    </w:p>
    <w:p w:rsidR="000F198C" w:rsidRDefault="000F198C" w:rsidP="00747F6D">
      <w:pPr>
        <w:jc w:val="both"/>
        <w:rPr>
          <w:lang w:val="de-AT"/>
        </w:rPr>
      </w:pPr>
      <w:r>
        <w:rPr>
          <w:lang w:val="de-AT"/>
        </w:rPr>
        <w:t xml:space="preserve">Berücksichtigt man nur die Verschlechterung </w:t>
      </w:r>
    </w:p>
    <w:p w:rsidR="00335DA4" w:rsidRDefault="001D0EE1" w:rsidP="00747F6D">
      <w:pPr>
        <w:jc w:val="both"/>
        <w:rPr>
          <w:lang w:val="de-AT"/>
        </w:rPr>
      </w:pPr>
      <w:r>
        <w:rPr>
          <w:lang w:val="de-AT"/>
        </w:rPr>
        <w:t xml:space="preserve">  </w:t>
      </w:r>
      <w:bookmarkStart w:id="5" w:name="_GoBack"/>
      <w:bookmarkEnd w:id="5"/>
    </w:p>
    <w:p w:rsidR="009500C3" w:rsidRDefault="00D72E79" w:rsidP="00747F6D">
      <w:pPr>
        <w:jc w:val="both"/>
        <w:rPr>
          <w:lang w:val="de-AT"/>
        </w:rPr>
      </w:pPr>
      <w:r>
        <w:rPr>
          <w:lang w:val="de-AT"/>
        </w:rPr>
        <w:t xml:space="preserve">  </w:t>
      </w:r>
    </w:p>
    <w:p w:rsidR="00676D92" w:rsidRPr="00676D92" w:rsidRDefault="00676D92" w:rsidP="00747F6D">
      <w:pPr>
        <w:jc w:val="both"/>
        <w:rPr>
          <w:lang w:val="de-AT"/>
        </w:rPr>
      </w:pPr>
    </w:p>
    <w:p w:rsidR="008B60E9" w:rsidRDefault="008B60E9" w:rsidP="008B60E9">
      <w:pPr>
        <w:spacing w:after="0" w:line="240" w:lineRule="auto"/>
        <w:rPr>
          <w:rFonts w:ascii="Calibri" w:hAnsi="Calibri"/>
          <w:i/>
          <w:lang w:val="de-AT" w:eastAsia="de-AT"/>
        </w:rPr>
      </w:pPr>
      <w:r w:rsidRPr="008B60E9">
        <w:rPr>
          <w:rFonts w:ascii="Calibri" w:hAnsi="Calibri"/>
          <w:i/>
          <w:lang w:val="de-AT" w:eastAsia="de-AT"/>
        </w:rPr>
        <w:t>Dieses Kriterium betrifft Bauteilschicht. Also nicht nur Dämmschicht. Hier stellt sich die Frage ob die gesamte Bauteilschicht heranzuziehen ist (im Mittel) oder nur der erste/kritische Zentimeter??</w:t>
      </w:r>
    </w:p>
    <w:p w:rsidR="0057391F" w:rsidRDefault="0057391F" w:rsidP="008B60E9">
      <w:pPr>
        <w:spacing w:after="0" w:line="240" w:lineRule="auto"/>
        <w:rPr>
          <w:rFonts w:ascii="Calibri" w:hAnsi="Calibri"/>
          <w:i/>
          <w:lang w:val="de-AT" w:eastAsia="de-AT"/>
        </w:rPr>
      </w:pPr>
      <w:r>
        <w:rPr>
          <w:rFonts w:ascii="Calibri" w:hAnsi="Calibri"/>
          <w:i/>
          <w:lang w:val="de-AT" w:eastAsia="de-AT"/>
        </w:rPr>
        <w:t xml:space="preserve">Wenn man sich auf den Wärmedurchlasswiderstand des Bauteils bezieht, so variiert dieser von Dämmstärke zu Dämmstärke, was eine vergleichende Beurteilung aufwändiger macht. </w:t>
      </w:r>
    </w:p>
    <w:p w:rsidR="0057391F" w:rsidRDefault="0057391F" w:rsidP="008B60E9">
      <w:pPr>
        <w:spacing w:after="0" w:line="240" w:lineRule="auto"/>
        <w:rPr>
          <w:rFonts w:ascii="Calibri" w:hAnsi="Calibri"/>
          <w:i/>
          <w:lang w:val="de-AT" w:eastAsia="de-AT"/>
        </w:rPr>
      </w:pPr>
      <w:r>
        <w:rPr>
          <w:rFonts w:ascii="Calibri" w:hAnsi="Calibri"/>
          <w:i/>
          <w:lang w:val="de-AT" w:eastAsia="de-AT"/>
        </w:rPr>
        <w:t>Wie sieht das dann in der Ecke aus? Muss über das gesamte Bauteil gemittelt werden, oder bezieht sich das auf den ungestörten Bereich.</w:t>
      </w:r>
    </w:p>
    <w:p w:rsidR="0057391F" w:rsidRDefault="0057391F" w:rsidP="008B60E9">
      <w:pPr>
        <w:spacing w:after="0" w:line="240" w:lineRule="auto"/>
        <w:rPr>
          <w:rFonts w:ascii="Calibri" w:hAnsi="Calibri"/>
          <w:i/>
          <w:lang w:val="de-AT" w:eastAsia="de-AT"/>
        </w:rPr>
      </w:pPr>
    </w:p>
    <w:p w:rsidR="0009528B" w:rsidRDefault="0009528B" w:rsidP="008B60E9">
      <w:pPr>
        <w:spacing w:after="0" w:line="240" w:lineRule="auto"/>
        <w:rPr>
          <w:rFonts w:ascii="Calibri" w:hAnsi="Calibri"/>
          <w:i/>
          <w:lang w:val="de-AT" w:eastAsia="de-AT"/>
        </w:rPr>
      </w:pPr>
      <w:r>
        <w:rPr>
          <w:rFonts w:ascii="Calibri" w:hAnsi="Calibri"/>
          <w:i/>
          <w:lang w:val="de-AT" w:eastAsia="de-AT"/>
        </w:rPr>
        <w:t>Man muss sich den U-Wert des gesamten Bauteils unter verschiedenen Feuchtebelastungen ansehen,</w:t>
      </w:r>
    </w:p>
    <w:p w:rsidR="0057391F" w:rsidRDefault="0009528B" w:rsidP="008B60E9">
      <w:pPr>
        <w:spacing w:after="0" w:line="240" w:lineRule="auto"/>
        <w:rPr>
          <w:rFonts w:ascii="Calibri" w:hAnsi="Calibri"/>
          <w:i/>
          <w:lang w:val="de-AT" w:eastAsia="de-AT"/>
        </w:rPr>
      </w:pPr>
      <w:r>
        <w:rPr>
          <w:rFonts w:ascii="Calibri" w:hAnsi="Calibri"/>
          <w:i/>
          <w:lang w:val="de-AT" w:eastAsia="de-AT"/>
        </w:rPr>
        <w:t xml:space="preserve">man schaut sich den U-Wert trocken   </w:t>
      </w:r>
    </w:p>
    <w:p w:rsidR="0057391F" w:rsidRDefault="0057391F" w:rsidP="008B60E9">
      <w:pPr>
        <w:spacing w:after="0" w:line="240" w:lineRule="auto"/>
        <w:rPr>
          <w:rFonts w:ascii="Calibri" w:hAnsi="Calibri"/>
          <w:i/>
          <w:lang w:val="de-AT" w:eastAsia="de-AT"/>
        </w:rPr>
      </w:pPr>
    </w:p>
    <w:p w:rsidR="0057391F" w:rsidRPr="008B60E9" w:rsidRDefault="0057391F" w:rsidP="008B60E9">
      <w:pPr>
        <w:spacing w:after="0" w:line="240" w:lineRule="auto"/>
        <w:rPr>
          <w:rFonts w:ascii="Calibri" w:hAnsi="Calibri"/>
          <w:i/>
          <w:lang w:val="de-AT" w:eastAsia="de-AT"/>
        </w:rPr>
      </w:pPr>
      <w:r>
        <w:rPr>
          <w:rFonts w:ascii="Calibri" w:hAnsi="Calibri"/>
          <w:i/>
          <w:lang w:val="de-AT" w:eastAsia="de-AT"/>
        </w:rPr>
        <w:t>z.B. U-Wert der Gesamtkonstruktion von Siehe Archiphysik …</w:t>
      </w:r>
    </w:p>
    <w:p w:rsidR="008B60E9" w:rsidRDefault="008B60E9" w:rsidP="00747F6D">
      <w:pPr>
        <w:jc w:val="both"/>
        <w:rPr>
          <w:lang w:val="de-AT"/>
        </w:rPr>
      </w:pPr>
    </w:p>
    <w:p w:rsidR="0057391F" w:rsidRPr="008B60E9" w:rsidRDefault="0057391F" w:rsidP="00747F6D">
      <w:pPr>
        <w:jc w:val="both"/>
        <w:rPr>
          <w:lang w:val="de-AT"/>
        </w:rPr>
      </w:pPr>
    </w:p>
    <w:p w:rsidR="008B60E9" w:rsidRDefault="00747F6D" w:rsidP="00747F6D">
      <w:pPr>
        <w:jc w:val="both"/>
      </w:pPr>
      <w:r>
        <w:t xml:space="preserve">– </w:t>
      </w:r>
      <w:r w:rsidRPr="00747F6D">
        <w:rPr>
          <w:highlight w:val="red"/>
        </w:rPr>
        <w:t>die Baustoffe durch Kondensat geschädigt werden</w:t>
      </w:r>
      <w:r>
        <w:t xml:space="preserve"> (Korrosion, Pilzbefall, Frostzerstörung oder Ähnliches) (</w:t>
      </w:r>
      <w:r w:rsidRPr="00747F6D">
        <w:rPr>
          <w:highlight w:val="yellow"/>
        </w:rPr>
        <w:t xml:space="preserve">für </w:t>
      </w:r>
      <w:r w:rsidRPr="008B60E9">
        <w:rPr>
          <w:highlight w:val="red"/>
        </w:rPr>
        <w:t>Holz und Holzwerkstoffe ist eine Erhöhung des massebezogenen Feuchtigkeitsgehalts um mehr als 3 % unzulässig</w:t>
      </w:r>
      <w:r>
        <w:t>);</w:t>
      </w:r>
    </w:p>
    <w:p w:rsidR="008B60E9" w:rsidRDefault="008B60E9" w:rsidP="008B60E9">
      <w:pPr>
        <w:spacing w:after="0" w:line="240" w:lineRule="auto"/>
        <w:rPr>
          <w:rFonts w:ascii="Calibri" w:hAnsi="Calibri"/>
          <w:i/>
          <w:lang w:val="de-AT" w:eastAsia="de-AT"/>
        </w:rPr>
      </w:pPr>
      <w:r w:rsidRPr="008B60E9">
        <w:rPr>
          <w:rFonts w:ascii="Calibri" w:hAnsi="Calibri"/>
          <w:i/>
          <w:lang w:val="de-AT" w:eastAsia="de-AT"/>
        </w:rPr>
        <w:t>Auf welchen Zeitbereich bezieht sich dieses Kriterium?</w:t>
      </w:r>
    </w:p>
    <w:p w:rsidR="008B60E9" w:rsidRPr="008B60E9" w:rsidRDefault="008B60E9" w:rsidP="008B60E9">
      <w:pPr>
        <w:spacing w:after="0" w:line="240" w:lineRule="auto"/>
        <w:rPr>
          <w:rFonts w:ascii="Calibri" w:hAnsi="Calibri"/>
          <w:i/>
          <w:lang w:val="de-AT" w:eastAsia="de-AT"/>
        </w:rPr>
      </w:pPr>
    </w:p>
    <w:p w:rsidR="00747F6D" w:rsidRDefault="00747F6D" w:rsidP="00747F6D">
      <w:pPr>
        <w:jc w:val="both"/>
      </w:pPr>
      <w:r>
        <w:t xml:space="preserve">– </w:t>
      </w:r>
      <w:r w:rsidRPr="00747F6D">
        <w:rPr>
          <w:highlight w:val="red"/>
        </w:rPr>
        <w:t>das angesammelte Kondenswasser in der Austrocknungsperiode nicht vollständig austrocknen kann, sodass eine fortschreitende Feuchtigkeitsanreicherung auftritt</w:t>
      </w:r>
      <w:r>
        <w:t>.</w:t>
      </w:r>
    </w:p>
    <w:p w:rsidR="00747F6D" w:rsidRDefault="00747F6D" w:rsidP="00747F6D">
      <w:pPr>
        <w:jc w:val="both"/>
      </w:pPr>
      <w:r w:rsidRPr="00747F6D">
        <w:rPr>
          <w:highlight w:val="yellow"/>
        </w:rPr>
        <w:t xml:space="preserve">Zur </w:t>
      </w:r>
      <w:r w:rsidRPr="008B60E9">
        <w:rPr>
          <w:highlight w:val="red"/>
        </w:rPr>
        <w:t xml:space="preserve">Sicherung der Innenluftbedingungen </w:t>
      </w:r>
      <w:r w:rsidRPr="00747F6D">
        <w:rPr>
          <w:highlight w:val="yellow"/>
        </w:rPr>
        <w:t>sind</w:t>
      </w:r>
    </w:p>
    <w:p w:rsidR="00747F6D" w:rsidRDefault="00747F6D" w:rsidP="00747F6D">
      <w:pPr>
        <w:jc w:val="both"/>
      </w:pPr>
      <w:r>
        <w:t xml:space="preserve">– </w:t>
      </w:r>
      <w:r w:rsidRPr="00747F6D">
        <w:rPr>
          <w:highlight w:val="yellow"/>
        </w:rPr>
        <w:t>ausreichende Belüftbarkeit der Räume</w:t>
      </w:r>
    </w:p>
    <w:p w:rsidR="00747F6D" w:rsidRDefault="00747F6D" w:rsidP="00747F6D">
      <w:pPr>
        <w:jc w:val="both"/>
      </w:pPr>
      <w:r>
        <w:t xml:space="preserve">– </w:t>
      </w:r>
      <w:r w:rsidRPr="00747F6D">
        <w:rPr>
          <w:highlight w:val="yellow"/>
        </w:rPr>
        <w:t>geeignete Maßnahmen zur Abfuhr der Baufeuchte</w:t>
      </w:r>
    </w:p>
    <w:p w:rsidR="00747F6D" w:rsidRDefault="00747F6D" w:rsidP="00747F6D">
      <w:pPr>
        <w:jc w:val="both"/>
      </w:pPr>
      <w:r>
        <w:t xml:space="preserve">– </w:t>
      </w:r>
      <w:r w:rsidRPr="00D10B81">
        <w:rPr>
          <w:highlight w:val="yellow"/>
        </w:rPr>
        <w:t>Anzeigegeräte in den Räumen zur Überwachung und Beeinflussung der relativen Feuchtigkeit durch den Nutzer, z.B. durch entsprechende Lüftung vorzusehen</w:t>
      </w:r>
      <w:r>
        <w:t>.</w:t>
      </w:r>
    </w:p>
    <w:p w:rsidR="00747F6D" w:rsidRDefault="00747F6D" w:rsidP="00747F6D">
      <w:pPr>
        <w:jc w:val="both"/>
      </w:pPr>
      <w:r>
        <w:t>Die Anforderungen sind wesentlich durch die Innenluftbedingungen (Temperatur und relative Feuchtigkeit) und die Außenluftbedingungen (Temperatur und relative Feuchtigkeit) bestimmt.</w:t>
      </w:r>
    </w:p>
    <w:p w:rsidR="00FB24C1" w:rsidRDefault="00747F6D" w:rsidP="00747F6D">
      <w:pPr>
        <w:jc w:val="both"/>
      </w:pPr>
      <w:r>
        <w:t>Die im Gebäude durch die widmungsgemäße Nutzung gegebenen Innenluftbedingungen und die für die Lage des Gebäudes gegebenen Außenluftbedingungen sind daher der Bemessung zu Grunde zu legen.</w:t>
      </w:r>
    </w:p>
    <w:p w:rsidR="00D10B81" w:rsidRDefault="00D10B81" w:rsidP="00D10B81">
      <w:pPr>
        <w:pStyle w:val="berschrift5"/>
      </w:pPr>
      <w:r>
        <w:t>Klimabedingungen</w:t>
      </w:r>
    </w:p>
    <w:p w:rsidR="00D10B81" w:rsidRDefault="00D10B81" w:rsidP="00D10B81">
      <w:pPr>
        <w:pStyle w:val="berschrift6"/>
      </w:pPr>
      <w:r>
        <w:t>Innenluftbedingungen</w:t>
      </w:r>
    </w:p>
    <w:p w:rsidR="00D10B81" w:rsidRDefault="00D10B81" w:rsidP="00D10B81">
      <w:pPr>
        <w:jc w:val="both"/>
      </w:pPr>
      <w:r>
        <w:t>Die durch die Raumwidmung bestimmten Innenluftbedingungen sind bei der Planung festzulegen und der feuchtigkeitstechnischen Bemessung zu Grunde zu legen.</w:t>
      </w:r>
    </w:p>
    <w:p w:rsidR="00D10B81" w:rsidRDefault="00D10B81" w:rsidP="00D10B81">
      <w:pPr>
        <w:jc w:val="both"/>
      </w:pPr>
      <w:r>
        <w:t xml:space="preserve">Für </w:t>
      </w:r>
      <w:r w:rsidRPr="00D10B81">
        <w:rPr>
          <w:highlight w:val="yellow"/>
        </w:rPr>
        <w:t>Wohnungen</w:t>
      </w:r>
      <w:r>
        <w:t xml:space="preserve"> und Räume vergleichbarer Widmung werden die folgenden Innenluftbedingungen eingesetzt:</w:t>
      </w:r>
    </w:p>
    <w:p w:rsidR="00D10B81" w:rsidRDefault="00D10B81" w:rsidP="00D10B81">
      <w:pPr>
        <w:jc w:val="both"/>
      </w:pPr>
      <w:r w:rsidRPr="00D10B81">
        <w:rPr>
          <w:highlight w:val="yellow"/>
        </w:rPr>
        <w:t>– Innenlufttemperatur 20 °C</w:t>
      </w:r>
    </w:p>
    <w:p w:rsidR="00D10B81" w:rsidRDefault="00D10B81" w:rsidP="00D10B81">
      <w:pPr>
        <w:jc w:val="both"/>
      </w:pPr>
      <w:r w:rsidRPr="00D10B81">
        <w:rPr>
          <w:highlight w:val="yellow"/>
        </w:rPr>
        <w:t>– relative Feuchtigkeit der Innenluft</w:t>
      </w:r>
    </w:p>
    <w:p w:rsidR="00D10B81" w:rsidRDefault="00D10B81" w:rsidP="00D10B81">
      <w:pPr>
        <w:jc w:val="both"/>
      </w:pPr>
      <w:r>
        <w:t xml:space="preserve">Es wird angenommen, dass in einem großen Teil der Zeit im Winter eine relative Feuchtigkeit von </w:t>
      </w:r>
      <w:r w:rsidRPr="00D10B81">
        <w:rPr>
          <w:highlight w:val="yellow"/>
        </w:rPr>
        <w:t>55 %</w:t>
      </w:r>
      <w:r>
        <w:t xml:space="preserve"> (und geringer bei Außenlufttemperaturen unter 0 °C) gegeben ist bzw. nicht überschritten wird und in einem kleineren Teil der Zeit </w:t>
      </w:r>
      <w:r w:rsidRPr="00D10B81">
        <w:rPr>
          <w:highlight w:val="yellow"/>
        </w:rPr>
        <w:t>(maximal 8 Stunden)</w:t>
      </w:r>
      <w:r>
        <w:t xml:space="preserve"> durch die verschiedenen Tätigkeiten in der Wohnung die Luftfeuchtigkeit bis 65 % (und geringer bei Außenlufttemperaturen unter 0 °C) ansteigen kann; dementsprechend werden 2 Stufen für die</w:t>
      </w:r>
    </w:p>
    <w:p w:rsidR="00D10B81" w:rsidRDefault="00D10B81" w:rsidP="00D10B81">
      <w:pPr>
        <w:jc w:val="both"/>
      </w:pPr>
      <w:r>
        <w:t>Bemessung eingesetzt:</w:t>
      </w:r>
    </w:p>
    <w:p w:rsidR="00D10B81" w:rsidRDefault="00D10B81" w:rsidP="00D10B81">
      <w:pPr>
        <w:jc w:val="both"/>
      </w:pPr>
      <w:r>
        <w:t xml:space="preserve">(a) für die </w:t>
      </w:r>
      <w:r w:rsidRPr="00D10B81">
        <w:rPr>
          <w:highlight w:val="yellow"/>
        </w:rPr>
        <w:t>Bemessung zur Vermeidung von Kondenswasserbildung</w:t>
      </w:r>
      <w:r>
        <w:t>:</w:t>
      </w:r>
    </w:p>
    <w:p w:rsidR="00D10B81" w:rsidRDefault="00D10B81" w:rsidP="00D10B81">
      <w:pPr>
        <w:jc w:val="both"/>
      </w:pPr>
      <w:r w:rsidRPr="00D10B81">
        <w:rPr>
          <w:highlight w:val="yellow"/>
        </w:rPr>
        <w:t>65 %</w:t>
      </w:r>
      <w:r>
        <w:t xml:space="preserve"> bei Außenlufttemperaturen von 0 °C bis 10 °C und um je 1 Prozentpunkt fallend je 1 K Temperaturabnahme der Außenluft unter 0 °C und um je 1 Prozentpunkt steigend je 1 K Temperaturzunahme der Außenluft über 10 °C</w:t>
      </w:r>
    </w:p>
    <w:p w:rsidR="00D10B81" w:rsidRDefault="00D10B81" w:rsidP="00D10B81">
      <w:pPr>
        <w:jc w:val="both"/>
      </w:pPr>
      <w:r>
        <w:t xml:space="preserve">(b) für die </w:t>
      </w:r>
      <w:r w:rsidRPr="00D10B81">
        <w:rPr>
          <w:highlight w:val="yellow"/>
        </w:rPr>
        <w:t>Bemessung zur Verminderung des Risikos von Schimmelbildung</w:t>
      </w:r>
      <w:r>
        <w:t>:</w:t>
      </w:r>
    </w:p>
    <w:p w:rsidR="00D10B81" w:rsidRDefault="00D10B81" w:rsidP="00D10B81">
      <w:pPr>
        <w:jc w:val="both"/>
      </w:pPr>
      <w:r w:rsidRPr="00D10B81">
        <w:rPr>
          <w:highlight w:val="yellow"/>
        </w:rPr>
        <w:t>55 %</w:t>
      </w:r>
      <w:r>
        <w:t xml:space="preserve"> bei Außenlufttemperaturen von 0 °C bis 5 °C und um je 1 Prozentpunkt ansteigend je 1 K Temperaturzunahme der Außenluft für über 5 °C bis 10 °C und um je 1,5 Prozentpunkte ansteigend je 1 K Temperaturzunahme der Außenluft über 10 °C und um je 1 Prozentpunkt fallend je 1 K Temperatur der Außenluft unter 0 °C</w:t>
      </w:r>
    </w:p>
    <w:p w:rsidR="00D10B81" w:rsidRDefault="00D10B81" w:rsidP="00D10B81">
      <w:pPr>
        <w:jc w:val="both"/>
      </w:pPr>
      <w:r>
        <w:t>ANMERKUNG 1:</w:t>
      </w:r>
    </w:p>
    <w:p w:rsidR="00D10B81" w:rsidRDefault="00D10B81" w:rsidP="00D10B81">
      <w:pPr>
        <w:jc w:val="both"/>
      </w:pPr>
      <w:r w:rsidRPr="007A67AF">
        <w:rPr>
          <w:highlight w:val="yellow"/>
        </w:rPr>
        <w:t>Damit ist nach ÖNORM EN ISO 13788 gesichert, dass bei den im größeren Teil der Zeit herrschenden Innenluftbedingungen das Risiko der Schimmelbildung und bei den fallweise höheren Luftfeuchtigkeiten jedenfalls Kondenswasserbildung vermieden wird.</w:t>
      </w:r>
    </w:p>
    <w:p w:rsidR="00D10B81" w:rsidRDefault="00D10B81" w:rsidP="00D10B81">
      <w:pPr>
        <w:jc w:val="both"/>
      </w:pPr>
      <w:r>
        <w:t>ANMERKUNG 2:</w:t>
      </w:r>
    </w:p>
    <w:p w:rsidR="00D10B81" w:rsidRDefault="00D10B81" w:rsidP="00D10B81">
      <w:pPr>
        <w:jc w:val="both"/>
      </w:pPr>
      <w:r w:rsidRPr="007A67AF">
        <w:rPr>
          <w:highlight w:val="yellow"/>
        </w:rPr>
        <w:t>Die erstgenannte Bedingung entspricht der Grenzlinie zwischen den Luftfeuchteklassen 4 und 5 in ÖNORM EN ISO 13788.</w:t>
      </w:r>
      <w:r>
        <w:t xml:space="preserve"> </w:t>
      </w:r>
      <w:r w:rsidRPr="007A67AF">
        <w:rPr>
          <w:highlight w:val="yellow"/>
        </w:rPr>
        <w:t>Die zweitgenannte Bedingung entspricht der Grenzlinie zwischen den Luftfeuchteklassen 3 und 4 in ÖNORM EN ISO 13788</w:t>
      </w:r>
      <w:r>
        <w:t>.</w:t>
      </w:r>
    </w:p>
    <w:p w:rsidR="00D10B81" w:rsidRDefault="00D10B81" w:rsidP="00D10B81">
      <w:pPr>
        <w:jc w:val="both"/>
      </w:pPr>
      <w:r>
        <w:t>ANMERKUNG 3:</w:t>
      </w:r>
    </w:p>
    <w:p w:rsidR="00D10B81" w:rsidRDefault="00D10B81" w:rsidP="00D10B81">
      <w:pPr>
        <w:jc w:val="both"/>
      </w:pPr>
      <w:r>
        <w:t>Es wird empfohlen, sicherzustellen, dass durch Maßnahmen zur Austrocknung der Baufeuchtigkeit (vor dem Bezug der Wohnungen) sowie durch Einrichtung entsprechender Möglichkeiten des Luftaustausches und ausreichende Information der Wohnungsnutzer die vorgenannten Bedingungen in Wohnungen eingehalten werden. Siehe dazu ÖNORM B 8110-2, Beiblatt 4.</w:t>
      </w:r>
    </w:p>
    <w:p w:rsidR="00160105" w:rsidRDefault="00160105" w:rsidP="00160105">
      <w:pPr>
        <w:pStyle w:val="berschrift5"/>
      </w:pPr>
      <w:r>
        <w:t>Außenluftbedingungen</w:t>
      </w:r>
    </w:p>
    <w:p w:rsidR="00747F6D" w:rsidRDefault="00160105" w:rsidP="00160105">
      <w:pPr>
        <w:jc w:val="both"/>
      </w:pPr>
      <w:r>
        <w:t>Den Berechnungen werden die Monatsmittelwerte der Außenlufttemperatur zu Grunde gelegt.</w:t>
      </w:r>
    </w:p>
    <w:p w:rsidR="00160105" w:rsidRDefault="00160105" w:rsidP="00160105">
      <w:pPr>
        <w:jc w:val="both"/>
      </w:pPr>
      <w:r>
        <w:t>Die mittlere monatliche Lufttemperatur wird hauptsächlich von der Seehöhe bestimmt. Nach der Klimatographie von Österreich (AUER et al., 2001, siehe Anhang C [3]) wird das Bundesgebiet darüber hinaus in sieben unterschiedliche Regionen mit entsprechendem mittleren vertikalen Temperaturgradient eingeteilt (siehe Bild 1), weil regionale Unterschiede bestehen: zwischen dem eher maritim beeinflussten Westen und dem kontinentalen Osten des Landes, nördlich des Alpenhauptkammes zwischen Föhngebieten und solchen ohne Föhneinfluss, durch alpine Zentrallage, außerdem durch die großen Beckenlandschaften im Süden und durch die Hügellandschaften am Alpenostrand.</w:t>
      </w:r>
    </w:p>
    <w:p w:rsidR="00160105" w:rsidRDefault="00160105" w:rsidP="00160105">
      <w:pPr>
        <w:jc w:val="both"/>
      </w:pPr>
      <w:r>
        <w:t xml:space="preserve">(a) In Tabelle 2 werden die aus den Datensätzen der Lufttemperatur der </w:t>
      </w:r>
      <w:r w:rsidRPr="00160105">
        <w:rPr>
          <w:highlight w:val="yellow"/>
        </w:rPr>
        <w:t>Jahre 1961 bis 1990</w:t>
      </w:r>
      <w:r>
        <w:t xml:space="preserve"> abgeleiteten Koeffizienten der Höhenregressionen für die sieben Regionen und für die einzelnen Monate angegeben. Innerhalb jeder Region wird nach der Höhenlage des betrachteten Ortes unterschieden (</w:t>
      </w:r>
      <w:r w:rsidRPr="00160105">
        <w:rPr>
          <w:highlight w:val="yellow"/>
        </w:rPr>
        <w:t>Dreischichtenmodell: unter 750 m Seehöhe, von 750 m bis 1499 m und von 1500 m aufwärts</w:t>
      </w:r>
      <w:r>
        <w:t>). Es handelt sich in allen Fällen um eine lineare Regression der bekannten Form</w:t>
      </w:r>
    </w:p>
    <w:p w:rsidR="00160105" w:rsidRDefault="00160105" w:rsidP="00160105">
      <w:pPr>
        <w:jc w:val="both"/>
      </w:pPr>
      <w:r>
        <w:t>θ = a + b H</w:t>
      </w:r>
    </w:p>
    <w:p w:rsidR="00160105" w:rsidRDefault="00160105" w:rsidP="00160105">
      <w:pPr>
        <w:jc w:val="both"/>
      </w:pPr>
      <w:r>
        <w:t>mit</w:t>
      </w:r>
    </w:p>
    <w:p w:rsidR="00160105" w:rsidRDefault="00160105" w:rsidP="00160105">
      <w:pPr>
        <w:jc w:val="both"/>
      </w:pPr>
      <w:r>
        <w:t>θ .............Monatsmittelwert der Temperatur in °C</w:t>
      </w:r>
    </w:p>
    <w:p w:rsidR="00160105" w:rsidRDefault="00160105" w:rsidP="00160105">
      <w:pPr>
        <w:jc w:val="both"/>
      </w:pPr>
      <w:r>
        <w:t>H.............Seehöhe in 100 m</w:t>
      </w:r>
    </w:p>
    <w:p w:rsidR="00160105" w:rsidRDefault="00160105" w:rsidP="00160105">
      <w:pPr>
        <w:jc w:val="both"/>
      </w:pPr>
      <w:r>
        <w:t>a, b ..........Regressionskoeffizienten des Dreischichten-Regressionsmodells.</w:t>
      </w:r>
    </w:p>
    <w:p w:rsidR="00160105" w:rsidRDefault="00160105" w:rsidP="00160105">
      <w:pPr>
        <w:jc w:val="both"/>
      </w:pPr>
      <w:r>
        <w:t xml:space="preserve">Mit den Regressionskoeffizienten der Tabelle 2 und der Ortshöhe kann für jeden beliebigen Punkt Österreichs das Monatsmittel der Lufttemperatur und damit der Jahresgang </w:t>
      </w:r>
      <w:r w:rsidRPr="001866B1">
        <w:rPr>
          <w:highlight w:val="yellow"/>
        </w:rPr>
        <w:t>bis auf rund ± 0,5 °C</w:t>
      </w:r>
      <w:r>
        <w:t xml:space="preserve"> (mittlere quadratische Abweichung) genau bestimmt werden.</w:t>
      </w:r>
    </w:p>
    <w:p w:rsidR="00160105" w:rsidRDefault="00160105" w:rsidP="00160105">
      <w:pPr>
        <w:jc w:val="both"/>
      </w:pPr>
      <w:r>
        <w:t xml:space="preserve">(b) Für eine generelle Bemessung eines </w:t>
      </w:r>
      <w:r w:rsidRPr="001866B1">
        <w:rPr>
          <w:highlight w:val="yellow"/>
        </w:rPr>
        <w:t>Außenbauteils für Österreich sind die Werte der Regression SB (Beckenlandschaften im Süden)</w:t>
      </w:r>
      <w:r>
        <w:t xml:space="preserve"> einzusetzen.</w:t>
      </w:r>
    </w:p>
    <w:p w:rsidR="00160105" w:rsidRDefault="00160105" w:rsidP="00160105">
      <w:pPr>
        <w:jc w:val="both"/>
      </w:pPr>
      <w:r w:rsidRPr="00160105">
        <w:rPr>
          <w:highlight w:val="yellow"/>
        </w:rPr>
        <w:t>Die relative Feuchtigkeit kann für alle Standorte mit 80 % angesetzt werden, ausgenommen die Monate Mai, Juni, Juli und August mit 75 %.</w:t>
      </w:r>
    </w:p>
    <w:p w:rsidR="00160105" w:rsidRDefault="001866B1" w:rsidP="001866B1">
      <w:pPr>
        <w:jc w:val="both"/>
      </w:pPr>
      <w:r>
        <w:t xml:space="preserve">Für die Abschätzung des </w:t>
      </w:r>
      <w:r w:rsidRPr="001866B1">
        <w:rPr>
          <w:highlight w:val="yellow"/>
        </w:rPr>
        <w:t>Risikos einer Kondenswasserbildung an Außenbauteilen mit geringer Speicherfähigkeit, wie z.B. Fenster und deren Rahmen</w:t>
      </w:r>
      <w:r>
        <w:t xml:space="preserve">, ist als Außenlufttemperatur der </w:t>
      </w:r>
      <w:r w:rsidRPr="001866B1">
        <w:rPr>
          <w:highlight w:val="yellow"/>
        </w:rPr>
        <w:t>durchschnittliche jährliche Mindestwert der Tagesmitteltemperaturen</w:t>
      </w:r>
      <w:r>
        <w:t xml:space="preserve"> einzusetzen. </w:t>
      </w:r>
      <w:r w:rsidRPr="001866B1">
        <w:rPr>
          <w:highlight w:val="red"/>
        </w:rPr>
        <w:t>Dies bedeutet gemäß ÖNORM EN ISO 13788, dass statistisch gesehen über eine Periode von 30 Jahren sich in der Hälfte der Jahre an wenigen Tagen Kondenswasser bildet</w:t>
      </w:r>
      <w:r>
        <w:t>.</w:t>
      </w:r>
    </w:p>
    <w:p w:rsidR="00160105" w:rsidRDefault="008A41A0" w:rsidP="00160105">
      <w:pPr>
        <w:jc w:val="both"/>
      </w:pPr>
      <w:r w:rsidRPr="008A41A0">
        <w:t>Die entsprechenden Werte des tiefsten Tagesmittels der Außenlufttemperatur sind in Tabelle 3 angegeben.</w:t>
      </w:r>
    </w:p>
    <w:p w:rsidR="008A41A0" w:rsidRDefault="008A41A0" w:rsidP="008A41A0">
      <w:pPr>
        <w:jc w:val="both"/>
      </w:pPr>
      <w:r>
        <w:t>ANMERKUNG:</w:t>
      </w:r>
    </w:p>
    <w:p w:rsidR="008A41A0" w:rsidRDefault="008A41A0" w:rsidP="008A41A0">
      <w:pPr>
        <w:jc w:val="both"/>
      </w:pPr>
      <w:r>
        <w:t xml:space="preserve">Für Fenster und Fenstertüren ist die Anforderung der Vermeidung von Kondensation bei Verglasung und Rahmen nicht immer unter allen Bedingungen zu erfüllen. </w:t>
      </w:r>
      <w:r w:rsidRPr="008A41A0">
        <w:rPr>
          <w:highlight w:val="yellow"/>
        </w:rPr>
        <w:t>Es ist dann durch geeignete Maßnahmen sicherzustellen, dass der anschließende Bauteil nicht durchfeuchtet wird.</w:t>
      </w:r>
    </w:p>
    <w:p w:rsidR="008A41A0" w:rsidRDefault="008A41A0" w:rsidP="008A41A0">
      <w:pPr>
        <w:jc w:val="both"/>
      </w:pPr>
      <w:r>
        <w:t>Für erdberührte Außenwände, die mehr als 1,5 m unter dem Gelände liegen, und für erdberührte Fußböden ist eine fiktive Bodentemperatur</w:t>
      </w:r>
    </w:p>
    <w:p w:rsidR="008A41A0" w:rsidRDefault="008A41A0" w:rsidP="008A41A0">
      <w:pPr>
        <w:jc w:val="both"/>
      </w:pPr>
      <w:r>
        <w:rPr>
          <w:noProof/>
          <w:lang w:val="de-AT" w:eastAsia="de-AT"/>
        </w:rPr>
        <w:drawing>
          <wp:inline distT="0" distB="0" distL="0" distR="0" wp14:anchorId="7352234C" wp14:editId="5E8449EE">
            <wp:extent cx="2480807" cy="470387"/>
            <wp:effectExtent l="0" t="0" r="0" b="635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481872" cy="470589"/>
                    </a:xfrm>
                    <a:prstGeom prst="rect">
                      <a:avLst/>
                    </a:prstGeom>
                  </pic:spPr>
                </pic:pic>
              </a:graphicData>
            </a:graphic>
          </wp:inline>
        </w:drawing>
      </w:r>
    </w:p>
    <w:p w:rsidR="008A41A0" w:rsidRDefault="008A41A0" w:rsidP="008A41A0">
      <w:pPr>
        <w:jc w:val="both"/>
      </w:pPr>
      <w:r>
        <w:t>einzusetzen.</w:t>
      </w:r>
    </w:p>
    <w:p w:rsidR="008A41A0" w:rsidRDefault="008A41A0" w:rsidP="008A41A0">
      <w:pPr>
        <w:jc w:val="both"/>
      </w:pPr>
      <w:r>
        <w:t>Für unbeheizte Nebenräume ist die Temperatur gemäß ÖNORM M 7500-4 anzunehmen.</w:t>
      </w:r>
    </w:p>
    <w:p w:rsidR="008A41A0" w:rsidRDefault="008A41A0" w:rsidP="008A41A0">
      <w:pPr>
        <w:pStyle w:val="berschrift5"/>
      </w:pPr>
      <w:r>
        <w:t>Berechnung zur Vermeidung von Kondensation an der inneren Bauteiloberfläche</w:t>
      </w:r>
    </w:p>
    <w:p w:rsidR="008A41A0" w:rsidRDefault="008A41A0" w:rsidP="008A41A0">
      <w:pPr>
        <w:pStyle w:val="berschrift5"/>
      </w:pPr>
      <w:r>
        <w:t>Bemessungs-Temperaturfaktor für die raumseitige Oberfläche</w:t>
      </w:r>
    </w:p>
    <w:p w:rsidR="008A41A0" w:rsidRDefault="008A41A0" w:rsidP="008A41A0">
      <w:pPr>
        <w:jc w:val="both"/>
      </w:pPr>
      <w:r>
        <w:t xml:space="preserve">Um Kondenswasserbildung zu vermeiden bzw. im Hinblick auf das Risiko von Schimmelbildung an der inneren Oberfläche, ist der Wärmeschutz der Außenbauteile so zu bemessen, dass die </w:t>
      </w:r>
      <w:r w:rsidRPr="008A41A0">
        <w:rPr>
          <w:highlight w:val="yellow"/>
        </w:rPr>
        <w:t>inneren Oberflächentemperatur nicht unter die Sättigungstemperatur bzw. die 80 % relativer Feuchtigkeit der Innenluft entsprechende Temperatur absinkt.</w:t>
      </w:r>
      <w:r>
        <w:t xml:space="preserve"> Die Bemessung erfolgt mit dem in </w:t>
      </w:r>
      <w:r w:rsidRPr="008A41A0">
        <w:rPr>
          <w:highlight w:val="yellow"/>
        </w:rPr>
        <w:t>ÖNORM EN ISO 13788 festgelegten Temperaturfaktor</w:t>
      </w:r>
      <w:r>
        <w:t>.</w:t>
      </w:r>
    </w:p>
    <w:p w:rsidR="008A41A0" w:rsidRDefault="008A41A0" w:rsidP="008A41A0">
      <w:pPr>
        <w:jc w:val="both"/>
      </w:pPr>
      <w:r>
        <w:t>Der Temperaturfaktor f</w:t>
      </w:r>
      <w:r w:rsidRPr="008A41A0">
        <w:rPr>
          <w:vertAlign w:val="subscript"/>
        </w:rPr>
        <w:t>Rsi</w:t>
      </w:r>
      <w:r>
        <w:t xml:space="preserve"> für die raumseitige Oberfläche ergibt sich aus der Differenz zwischen der Temperatur der raumseitigen Oberfläche und der außenseitigen Lufttemperatur dividiert durch die Differenz zwischen raumseitiger Lufttemperatur und außenseitiger Lufttemperatur, berechnet mit einem Wärmeübergangswiderstand Rsi an der raumseitigen Oberfläche:</w:t>
      </w:r>
    </w:p>
    <w:p w:rsidR="008A41A0" w:rsidRDefault="008A41A0" w:rsidP="008A41A0">
      <w:pPr>
        <w:jc w:val="both"/>
      </w:pPr>
      <w:r>
        <w:rPr>
          <w:noProof/>
          <w:lang w:val="de-AT" w:eastAsia="de-AT"/>
        </w:rPr>
        <w:drawing>
          <wp:inline distT="0" distB="0" distL="0" distR="0" wp14:anchorId="1181E2A5" wp14:editId="47787CE1">
            <wp:extent cx="970060" cy="459163"/>
            <wp:effectExtent l="0" t="0" r="1905"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972157" cy="460156"/>
                    </a:xfrm>
                    <a:prstGeom prst="rect">
                      <a:avLst/>
                    </a:prstGeom>
                  </pic:spPr>
                </pic:pic>
              </a:graphicData>
            </a:graphic>
          </wp:inline>
        </w:drawing>
      </w:r>
    </w:p>
    <w:p w:rsidR="008A41A0" w:rsidRDefault="008A41A0" w:rsidP="008A41A0">
      <w:pPr>
        <w:jc w:val="both"/>
      </w:pPr>
      <w:r>
        <w:t>Der Bemessungs-Temperaturfaktor für die raumseitige Oberfläche f</w:t>
      </w:r>
      <w:r w:rsidRPr="008A41A0">
        <w:rPr>
          <w:vertAlign w:val="subscript"/>
        </w:rPr>
        <w:t>Rsi,min</w:t>
      </w:r>
      <w:r w:rsidR="00515EF1">
        <w:t xml:space="preserve"> ist der kleinste zulässige (mindesterforderliche) Temperaturfaktor für die raumseitige Oberfläche, gegebn durch die tiefste zulässige Temperatur an der raumseitigen Oberfläche θ</w:t>
      </w:r>
      <w:r w:rsidR="00515EF1" w:rsidRPr="00515EF1">
        <w:rPr>
          <w:vertAlign w:val="subscript"/>
        </w:rPr>
        <w:t>si,min</w:t>
      </w:r>
      <w:r w:rsidR="00515EF1">
        <w:t xml:space="preserve">, </w:t>
      </w:r>
    </w:p>
    <w:p w:rsidR="00515EF1" w:rsidRDefault="00515EF1" w:rsidP="008A41A0">
      <w:pPr>
        <w:jc w:val="both"/>
      </w:pPr>
      <w:r>
        <w:rPr>
          <w:noProof/>
          <w:lang w:val="de-AT" w:eastAsia="de-AT"/>
        </w:rPr>
        <w:drawing>
          <wp:inline distT="0" distB="0" distL="0" distR="0" wp14:anchorId="751573D2" wp14:editId="2223B590">
            <wp:extent cx="1259893" cy="485029"/>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262841" cy="486164"/>
                    </a:xfrm>
                    <a:prstGeom prst="rect">
                      <a:avLst/>
                    </a:prstGeom>
                  </pic:spPr>
                </pic:pic>
              </a:graphicData>
            </a:graphic>
          </wp:inline>
        </w:drawing>
      </w:r>
    </w:p>
    <w:p w:rsidR="00515EF1" w:rsidRDefault="00515EF1" w:rsidP="008A41A0">
      <w:pPr>
        <w:jc w:val="both"/>
      </w:pPr>
      <w:r>
        <w:rPr>
          <w:noProof/>
          <w:lang w:val="de-AT" w:eastAsia="de-AT"/>
        </w:rPr>
        <w:drawing>
          <wp:inline distT="0" distB="0" distL="0" distR="0" wp14:anchorId="53F2627A" wp14:editId="2B7AAA01">
            <wp:extent cx="4949978" cy="1317222"/>
            <wp:effectExtent l="0" t="0" r="3175"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952850" cy="1317986"/>
                    </a:xfrm>
                    <a:prstGeom prst="rect">
                      <a:avLst/>
                    </a:prstGeom>
                  </pic:spPr>
                </pic:pic>
              </a:graphicData>
            </a:graphic>
          </wp:inline>
        </w:drawing>
      </w:r>
    </w:p>
    <w:p w:rsidR="00515EF1" w:rsidRPr="00515EF1" w:rsidRDefault="00515EF1" w:rsidP="00515EF1">
      <w:pPr>
        <w:jc w:val="both"/>
        <w:rPr>
          <w:highlight w:val="yellow"/>
        </w:rPr>
      </w:pPr>
      <w:r w:rsidRPr="00515EF1">
        <w:rPr>
          <w:highlight w:val="yellow"/>
        </w:rPr>
        <w:t>Dabei ist zu beachten: Der Bemessungs-Temperaturfaktor muss einen mindesterforderlichen Wert aufweisen, der Feuchtigkeitsfaktor in der VORNORM ÖNORM B 8110-2:1995 durfte einen höchstzulässigen Wert nicht überschreiten.</w:t>
      </w:r>
    </w:p>
    <w:p w:rsidR="00515EF1" w:rsidRDefault="00515EF1" w:rsidP="00515EF1">
      <w:pPr>
        <w:jc w:val="both"/>
      </w:pPr>
      <w:r w:rsidRPr="00515EF1">
        <w:rPr>
          <w:highlight w:val="yellow"/>
        </w:rPr>
        <w:t>Weiters ist zu beachten: Der Index s bedeutet surface (Oberfläche), während in der VORNORM ÖNORM B 8110-2:1995 mit Index s die Sättigung bezeichnet wurde.</w:t>
      </w:r>
    </w:p>
    <w:p w:rsidR="00515EF1" w:rsidRDefault="00515EF1" w:rsidP="00515EF1">
      <w:pPr>
        <w:jc w:val="both"/>
      </w:pPr>
      <w:r>
        <w:t>Der für ein Gebäude je nach den aus der Nutzung resultierenden Innenluftbedingungen und den für den Standort zutreffenden Außenluftbedingungen zutreffende Bemessungs-Temperaturfaktor ist jeweils zu ermitteln. Die Werte für die kleinste zulässige Temperatur an der raumseitigen Oberfläche ergeben sich wie folgt:</w:t>
      </w:r>
    </w:p>
    <w:p w:rsidR="00515EF1" w:rsidRDefault="00515EF1" w:rsidP="00515EF1">
      <w:pPr>
        <w:jc w:val="both"/>
      </w:pPr>
      <w:r>
        <w:t>– für die Bemessung zur Vermeidung von Kondenswasserbildung: die Temperatur, auf die die Raumluft abgekühlt 100 % relative Feuchtigkeit erreicht</w:t>
      </w:r>
    </w:p>
    <w:p w:rsidR="00515EF1" w:rsidRDefault="00515EF1" w:rsidP="00515EF1">
      <w:pPr>
        <w:jc w:val="both"/>
      </w:pPr>
      <w:r>
        <w:t>– für die Bemessung im Hinblick auf das Risiko von Schimmelbildung: die Temperatur, auf die die Raumluft abgekühlt 80 % relative Feuchtigkeit erreicht.</w:t>
      </w:r>
    </w:p>
    <w:p w:rsidR="00515EF1" w:rsidRDefault="00515EF1" w:rsidP="00515EF1">
      <w:pPr>
        <w:jc w:val="both"/>
      </w:pPr>
      <w:r>
        <w:t>Die entsprechenden Werte der zulässigen Temperatur sind Tabelle A.1 zu entnehmen.</w:t>
      </w:r>
    </w:p>
    <w:p w:rsidR="00515EF1" w:rsidRDefault="00515EF1" w:rsidP="00515EF1">
      <w:pPr>
        <w:jc w:val="both"/>
      </w:pPr>
      <w:r>
        <w:t>Für Innenluft von 20 °C und relativer Feuchtigkeit von 40 % bis 70 % ist der Bemessungs-Temperaturfaktor</w:t>
      </w:r>
    </w:p>
    <w:p w:rsidR="00515EF1" w:rsidRDefault="00515EF1" w:rsidP="00515EF1">
      <w:pPr>
        <w:jc w:val="both"/>
      </w:pPr>
      <w:r>
        <w:t>– für die Bemessung zur Vermeidung von Kondenswasserbildung in Bild 2</w:t>
      </w:r>
    </w:p>
    <w:p w:rsidR="00515EF1" w:rsidRDefault="00515EF1" w:rsidP="00515EF1">
      <w:pPr>
        <w:jc w:val="both"/>
      </w:pPr>
      <w:r>
        <w:t>– für die Bemessung im Hinblick auf das Risiko von Schimmelbildung in Bild 3</w:t>
      </w:r>
    </w:p>
    <w:p w:rsidR="00515EF1" w:rsidRDefault="00515EF1" w:rsidP="00515EF1">
      <w:pPr>
        <w:jc w:val="both"/>
      </w:pPr>
      <w:r>
        <w:t>dargestellt.</w:t>
      </w:r>
    </w:p>
    <w:p w:rsidR="00515EF1" w:rsidRDefault="00515EF1" w:rsidP="00515EF1">
      <w:pPr>
        <w:jc w:val="both"/>
      </w:pPr>
      <w:r>
        <w:t xml:space="preserve">Für die für </w:t>
      </w:r>
      <w:r w:rsidRPr="00515EF1">
        <w:rPr>
          <w:highlight w:val="yellow"/>
        </w:rPr>
        <w:t>Wohngebäude</w:t>
      </w:r>
      <w:r>
        <w:t xml:space="preserve"> und Gebäude vergleichbarer Widmung in 6.1 festgelegten Innenluftbedingungen ist der Bemessungs-Temperaturfaktor f</w:t>
      </w:r>
      <w:r w:rsidRPr="00515EF1">
        <w:rPr>
          <w:vertAlign w:val="subscript"/>
        </w:rPr>
        <w:t>Rsi,min</w:t>
      </w:r>
      <w:r>
        <w:t xml:space="preserve"> in Abhängigkeit von der Außenlufttemperatur jeweils als Kurve W eingezeichnet.</w:t>
      </w:r>
    </w:p>
    <w:p w:rsidR="00515EF1" w:rsidRDefault="00515EF1" w:rsidP="00515EF1">
      <w:pPr>
        <w:jc w:val="both"/>
      </w:pPr>
      <w:r>
        <w:t>Für beliebige andere relative Luftfeuchtigkeit der Innenluft von 20 °C Temperatur ist unter der Annahme, dass die Luftfeuchtigkeit für Außenlufttemperaturen unter 0 °C um 1 Prozentpunkt je K abnimmt, der höchste Wert für den Bemessungs-Temperaturfaktor in Bild 4 dargestellt.</w:t>
      </w:r>
    </w:p>
    <w:p w:rsidR="00515EF1" w:rsidRDefault="00DA725A" w:rsidP="00DA725A">
      <w:pPr>
        <w:jc w:val="center"/>
      </w:pPr>
      <w:r>
        <w:rPr>
          <w:noProof/>
          <w:lang w:val="de-AT" w:eastAsia="de-AT"/>
        </w:rPr>
        <w:drawing>
          <wp:inline distT="0" distB="0" distL="0" distR="0" wp14:anchorId="169ABD63" wp14:editId="4960494B">
            <wp:extent cx="3366360" cy="5263763"/>
            <wp:effectExtent l="0" t="0" r="5715"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367041" cy="5264828"/>
                    </a:xfrm>
                    <a:prstGeom prst="rect">
                      <a:avLst/>
                    </a:prstGeom>
                  </pic:spPr>
                </pic:pic>
              </a:graphicData>
            </a:graphic>
          </wp:inline>
        </w:drawing>
      </w:r>
    </w:p>
    <w:p w:rsidR="00DA725A" w:rsidRDefault="00DA725A" w:rsidP="005F1B2F">
      <w:pPr>
        <w:jc w:val="center"/>
      </w:pPr>
      <w:r>
        <w:rPr>
          <w:noProof/>
          <w:lang w:val="de-AT" w:eastAsia="de-AT"/>
        </w:rPr>
        <w:drawing>
          <wp:anchor distT="0" distB="0" distL="114300" distR="114300" simplePos="0" relativeHeight="251658240" behindDoc="0" locked="0" layoutInCell="1" allowOverlap="1" wp14:anchorId="085C477E" wp14:editId="572F6472">
            <wp:simplePos x="0" y="0"/>
            <wp:positionH relativeFrom="column">
              <wp:posOffset>899795</wp:posOffset>
            </wp:positionH>
            <wp:positionV relativeFrom="paragraph">
              <wp:align>top</wp:align>
            </wp:positionV>
            <wp:extent cx="3068955" cy="4516120"/>
            <wp:effectExtent l="0" t="0" r="0" b="0"/>
            <wp:wrapSquare wrapText="bothSides"/>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3068955" cy="4516120"/>
                    </a:xfrm>
                    <a:prstGeom prst="rect">
                      <a:avLst/>
                    </a:prstGeom>
                  </pic:spPr>
                </pic:pic>
              </a:graphicData>
            </a:graphic>
          </wp:anchor>
        </w:drawing>
      </w:r>
      <w:r w:rsidR="005F1B2F">
        <w:br w:type="textWrapping" w:clear="all"/>
      </w:r>
      <w:r w:rsidR="005F1B2F">
        <w:rPr>
          <w:noProof/>
          <w:lang w:val="de-AT" w:eastAsia="de-AT"/>
        </w:rPr>
        <w:drawing>
          <wp:inline distT="0" distB="0" distL="0" distR="0" wp14:anchorId="60C5B303" wp14:editId="6AF4A659">
            <wp:extent cx="3339547" cy="3328322"/>
            <wp:effectExtent l="0" t="0" r="0" b="571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338425" cy="3327204"/>
                    </a:xfrm>
                    <a:prstGeom prst="rect">
                      <a:avLst/>
                    </a:prstGeom>
                  </pic:spPr>
                </pic:pic>
              </a:graphicData>
            </a:graphic>
          </wp:inline>
        </w:drawing>
      </w:r>
    </w:p>
    <w:p w:rsidR="005F1B2F" w:rsidRDefault="005F1B2F" w:rsidP="005F1B2F">
      <w:r>
        <w:rPr>
          <w:noProof/>
          <w:lang w:val="de-AT" w:eastAsia="de-AT"/>
        </w:rPr>
        <w:drawing>
          <wp:inline distT="0" distB="0" distL="0" distR="0" wp14:anchorId="3AA1C77C" wp14:editId="11796FAB">
            <wp:extent cx="5760085" cy="358283"/>
            <wp:effectExtent l="0" t="0" r="0" b="381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085" cy="358283"/>
                    </a:xfrm>
                    <a:prstGeom prst="rect">
                      <a:avLst/>
                    </a:prstGeom>
                  </pic:spPr>
                </pic:pic>
              </a:graphicData>
            </a:graphic>
          </wp:inline>
        </w:drawing>
      </w:r>
    </w:p>
    <w:p w:rsidR="005F1B2F" w:rsidRDefault="005F1B2F" w:rsidP="005F1B2F">
      <w:r>
        <w:t>Erforderlicher Wärmeschutz</w:t>
      </w:r>
    </w:p>
    <w:p w:rsidR="005F1B2F" w:rsidRDefault="005F1B2F" w:rsidP="00D77980">
      <w:pPr>
        <w:pStyle w:val="berschrift5"/>
      </w:pPr>
      <w:r>
        <w:t>Ebenflächige Bauteile ohne Wärmebrücken</w:t>
      </w:r>
    </w:p>
    <w:p w:rsidR="005F1B2F" w:rsidRDefault="005F1B2F" w:rsidP="00984398">
      <w:pPr>
        <w:jc w:val="both"/>
      </w:pPr>
      <w:r>
        <w:t xml:space="preserve">Aus dem mindesterforderlichen Bemessungs-Temperaturfaktor für die für den Standort zutreffenden Monatsmittel der Außenlufttemperatur ist die mindesterforderliche innere Oberflächentemperatur </w:t>
      </w:r>
      <w:r w:rsidR="00984398">
        <w:t>Phi</w:t>
      </w:r>
      <w:r>
        <w:t>si,min zu ermitteln. Für ebenflächige Bauteile (ohne Wärmebrücken) wird daraus der höchstzulässige Wärmedurchgangskoeffizient Umax und der mindesterforderliche Wärmedurchlasswiderstand Rmin errechnet nach</w:t>
      </w:r>
    </w:p>
    <w:p w:rsidR="005F1B2F" w:rsidRDefault="005F1B2F" w:rsidP="005F1B2F">
      <w:r>
        <w:rPr>
          <w:noProof/>
          <w:lang w:val="de-AT" w:eastAsia="de-AT"/>
        </w:rPr>
        <w:drawing>
          <wp:inline distT="0" distB="0" distL="0" distR="0" wp14:anchorId="19CD666B" wp14:editId="77DEE970">
            <wp:extent cx="3254991" cy="736248"/>
            <wp:effectExtent l="0" t="0" r="3175" b="698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277607" cy="741364"/>
                    </a:xfrm>
                    <a:prstGeom prst="rect">
                      <a:avLst/>
                    </a:prstGeom>
                  </pic:spPr>
                </pic:pic>
              </a:graphicData>
            </a:graphic>
          </wp:inline>
        </w:drawing>
      </w:r>
    </w:p>
    <w:p w:rsidR="005F1B2F" w:rsidRDefault="005F1B2F" w:rsidP="005F1B2F">
      <w:r w:rsidRPr="005F1B2F">
        <w:t>Die Wärmeübergangswiderstände Rsi und Rse sind nach ÖNORM EN ISO 13788 einzusetzen, wie in Tabelle 4 angegeben.</w:t>
      </w:r>
    </w:p>
    <w:p w:rsidR="005F1B2F" w:rsidRDefault="005F1B2F" w:rsidP="005F1B2F">
      <w:r>
        <w:rPr>
          <w:noProof/>
          <w:lang w:val="de-AT" w:eastAsia="de-AT"/>
        </w:rPr>
        <w:drawing>
          <wp:inline distT="0" distB="0" distL="0" distR="0" wp14:anchorId="7E7E7267" wp14:editId="65844498">
            <wp:extent cx="4394579" cy="983861"/>
            <wp:effectExtent l="0" t="0" r="6350" b="698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392948" cy="983496"/>
                    </a:xfrm>
                    <a:prstGeom prst="rect">
                      <a:avLst/>
                    </a:prstGeom>
                  </pic:spPr>
                </pic:pic>
              </a:graphicData>
            </a:graphic>
          </wp:inline>
        </w:drawing>
      </w:r>
    </w:p>
    <w:p w:rsidR="007B1019" w:rsidRDefault="007B1019" w:rsidP="007B1019">
      <w:r>
        <w:t>ANMERKUNG:</w:t>
      </w:r>
    </w:p>
    <w:p w:rsidR="007B1019" w:rsidRDefault="007B1019" w:rsidP="007B1019">
      <w:r>
        <w:t>Mit den nach den Bauordnungen der österreichischen Bundesländer höchstzulässigen Werten für den Wärmedurchgangskoeffizienten für opake Bauteile ist die Bedingung für den höchstzulässigen Wärmedurchgangskoeffizienten nach den Formeln (7) und (8) für Räume mit Innenluftbedingungen gemäß 6.1 bei Weitem erfüllt.</w:t>
      </w:r>
    </w:p>
    <w:p w:rsidR="007B1019" w:rsidRDefault="00280FB2" w:rsidP="00D77980">
      <w:pPr>
        <w:pStyle w:val="berschrift5"/>
      </w:pPr>
      <w:r w:rsidRPr="00280FB2">
        <w:t>Wärmebrückenbereiche</w:t>
      </w:r>
    </w:p>
    <w:p w:rsidR="00280FB2" w:rsidRDefault="00280FB2" w:rsidP="00280FB2">
      <w:r>
        <w:t>Für Bauteile mit baustoffbedingten oder geometrischen Wärmebrücken, wie Innenecken, Ichsen, sowie an Kanten mit anschließenden Kühlrippen, z.B. in Form einer Attika oder in Form auskragender Balkon- oder Loggienplatten, aber auch bei Wand- oder Deckenanschlüssen bzw. Pfeilern, Stützen, Überlagern, Ankern, Baukörperanschlüssen von Fenstern und Fenstertüren, tritt im Regelfall eine niedrigere Oberflächentemperatur auf als an der ungestörten inneren Wand- oder Deckenoberfläche.</w:t>
      </w:r>
    </w:p>
    <w:p w:rsidR="00280FB2" w:rsidRDefault="00280FB2" w:rsidP="00280FB2">
      <w:r>
        <w:t xml:space="preserve">Im Bereich von Wärmebrücken ist die Angabe eines Wärmedurchgangskoeffizienten und daher auch eine einfache Berechnung der Oberflächentemperatur aus diesem nicht möglich. Die </w:t>
      </w:r>
      <w:r w:rsidRPr="00D77980">
        <w:rPr>
          <w:highlight w:val="yellow"/>
        </w:rPr>
        <w:t>Oberflächentemperatur ist in diesem Fall ortsabhängig</w:t>
      </w:r>
      <w:r>
        <w:t xml:space="preserve"> und kann nur durch Anwendung geeigneter numerischer Rechenverfahren ermittelt werden (gemäß </w:t>
      </w:r>
      <w:r w:rsidRPr="00D77980">
        <w:rPr>
          <w:highlight w:val="yellow"/>
        </w:rPr>
        <w:t>ÖNORM EN ISO 10211-</w:t>
      </w:r>
      <w:r>
        <w:t>1).</w:t>
      </w:r>
    </w:p>
    <w:p w:rsidR="00280FB2" w:rsidRDefault="00280FB2" w:rsidP="00280FB2">
      <w:r>
        <w:t>Für die Bemessung im Hinblick auf Kondensation oder im Hinblick auf Hintanhaltung von Schimmelbildung ist f</w:t>
      </w:r>
      <w:r w:rsidRPr="00D77980">
        <w:rPr>
          <w:vertAlign w:val="subscript"/>
        </w:rPr>
        <w:t>Rsi</w:t>
      </w:r>
      <w:r>
        <w:t xml:space="preserve"> berechnet aus der geringsten im jeweiligen Innenraum k mit der Innenraumlufttemperatur </w:t>
      </w:r>
      <w:r w:rsidR="000C6ECD">
        <w:t xml:space="preserve">Phii,k auftretenden Innenoberflächentemperatur </w:t>
      </w:r>
      <w:r w:rsidR="00D77980">
        <w:t>Phi</w:t>
      </w:r>
      <w:r w:rsidR="000C6ECD">
        <w:t xml:space="preserve">si,k, maßgebend. Aus diesem Mindestwert der Oberflächentemperatur ist der geringste im Wärmebrückenbereich auftretende Wert von fRsi, bezeichnet als fRsi,k zu berechnen nach </w:t>
      </w:r>
    </w:p>
    <w:p w:rsidR="000C6ECD" w:rsidRDefault="000C6ECD" w:rsidP="00280FB2">
      <w:r>
        <w:rPr>
          <w:noProof/>
          <w:lang w:val="de-AT" w:eastAsia="de-AT"/>
        </w:rPr>
        <w:drawing>
          <wp:inline distT="0" distB="0" distL="0" distR="0" wp14:anchorId="38A28A57" wp14:editId="2AB530A0">
            <wp:extent cx="4264926" cy="475644"/>
            <wp:effectExtent l="0" t="0" r="2540" b="63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71216" cy="476345"/>
                    </a:xfrm>
                    <a:prstGeom prst="rect">
                      <a:avLst/>
                    </a:prstGeom>
                  </pic:spPr>
                </pic:pic>
              </a:graphicData>
            </a:graphic>
          </wp:inline>
        </w:drawing>
      </w:r>
    </w:p>
    <w:p w:rsidR="000C6ECD" w:rsidRDefault="000C6ECD" w:rsidP="00280FB2">
      <w:r>
        <w:t>Für den Fall einheitlicher Innentemperatur können die Werte für fRsi für eine Reihe von Baukonstruktionen aus Wärmebrückenkatalogen entnommen werden (siehe Anhang B).</w:t>
      </w:r>
    </w:p>
    <w:p w:rsidR="000C6ECD" w:rsidRDefault="000C6ECD" w:rsidP="00280FB2">
      <w:r>
        <w:t xml:space="preserve">Soferne der Bauteil, der Wärmebrücken enthält, an zwei oder mehr Innenräume unterschiedlicher Temperatur thermisch angekoppelt ist, wird die minimale Oberflächentempertur Phik* der dem jeweils betrachteten Raum zugewandten Bauteiloberfläche mit der Formel </w:t>
      </w:r>
    </w:p>
    <w:p w:rsidR="000C6ECD" w:rsidRDefault="000C6ECD" w:rsidP="00280FB2">
      <w:r>
        <w:rPr>
          <w:noProof/>
          <w:lang w:val="de-AT" w:eastAsia="de-AT"/>
        </w:rPr>
        <w:drawing>
          <wp:inline distT="0" distB="0" distL="0" distR="0" wp14:anchorId="0C081533" wp14:editId="52C019AB">
            <wp:extent cx="5760085" cy="205761"/>
            <wp:effectExtent l="0" t="0" r="0" b="381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085" cy="205761"/>
                    </a:xfrm>
                    <a:prstGeom prst="rect">
                      <a:avLst/>
                    </a:prstGeom>
                  </pic:spPr>
                </pic:pic>
              </a:graphicData>
            </a:graphic>
          </wp:inline>
        </w:drawing>
      </w:r>
    </w:p>
    <w:p w:rsidR="000C6ECD" w:rsidRDefault="000C6ECD" w:rsidP="00280FB2">
      <w:r>
        <w:t>Ermittelt.</w:t>
      </w:r>
    </w:p>
    <w:p w:rsidR="000C6ECD" w:rsidRDefault="000C6ECD" w:rsidP="00280FB2">
      <w:r>
        <w:rPr>
          <w:noProof/>
          <w:lang w:val="de-AT" w:eastAsia="de-AT"/>
        </w:rPr>
        <w:drawing>
          <wp:inline distT="0" distB="0" distL="0" distR="0" wp14:anchorId="0ADC4C90" wp14:editId="28D1BF20">
            <wp:extent cx="3432412" cy="1300200"/>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432847" cy="1300365"/>
                    </a:xfrm>
                    <a:prstGeom prst="rect">
                      <a:avLst/>
                    </a:prstGeom>
                  </pic:spPr>
                </pic:pic>
              </a:graphicData>
            </a:graphic>
          </wp:inline>
        </w:drawing>
      </w:r>
    </w:p>
    <w:p w:rsidR="000C6ECD" w:rsidRDefault="000C6ECD" w:rsidP="000C6ECD">
      <w:r>
        <w:t>Hierin bedeutet:</w:t>
      </w:r>
    </w:p>
    <w:p w:rsidR="000C6ECD" w:rsidRDefault="000C6ECD" w:rsidP="000C6ECD">
      <w:r>
        <w:t>ge ..........Temperatur-Gewichtungsfaktor für den betrachteten Raum k für die Außenlufttemperaturen</w:t>
      </w:r>
    </w:p>
    <w:p w:rsidR="000C6ECD" w:rsidRDefault="000C6ECD" w:rsidP="000C6ECD">
      <w:r>
        <w:t>gi...........Temperatur-Gewichtungsfaktoren für den betrachteten Raum k für die Innenlufttemperaturen (1) bis (n)</w:t>
      </w:r>
    </w:p>
    <w:p w:rsidR="000C6ECD" w:rsidRDefault="000C6ECD" w:rsidP="000C6ECD">
      <w:r>
        <w:t xml:space="preserve">Eine Baukonstruktion bleibt frei von Oberflächenkondensat sofern </w:t>
      </w:r>
    </w:p>
    <w:p w:rsidR="000C6ECD" w:rsidRDefault="000C6ECD" w:rsidP="000C6ECD">
      <w:r>
        <w:rPr>
          <w:noProof/>
          <w:lang w:val="de-AT" w:eastAsia="de-AT"/>
        </w:rPr>
        <w:drawing>
          <wp:inline distT="0" distB="0" distL="0" distR="0" wp14:anchorId="002A556A" wp14:editId="4912ADD6">
            <wp:extent cx="3807726" cy="254631"/>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838147" cy="256665"/>
                    </a:xfrm>
                    <a:prstGeom prst="rect">
                      <a:avLst/>
                    </a:prstGeom>
                  </pic:spPr>
                </pic:pic>
              </a:graphicData>
            </a:graphic>
          </wp:inline>
        </w:drawing>
      </w:r>
    </w:p>
    <w:p w:rsidR="000C6ECD" w:rsidRDefault="000C6ECD" w:rsidP="000C6ECD">
      <w:r>
        <w:t xml:space="preserve">Ist. </w:t>
      </w:r>
    </w:p>
    <w:p w:rsidR="000C6ECD" w:rsidRDefault="000C6ECD" w:rsidP="000C6ECD">
      <w:r>
        <w:t xml:space="preserve">Für den Fall des </w:t>
      </w:r>
      <w:r w:rsidRPr="00E71DF8">
        <w:rPr>
          <w:highlight w:val="yellow"/>
        </w:rPr>
        <w:t>Norm-Innenraumklimas</w:t>
      </w:r>
      <w:r>
        <w:t xml:space="preserve"> muss naturgemäß die Bedingung</w:t>
      </w:r>
    </w:p>
    <w:p w:rsidR="000C6ECD" w:rsidRDefault="000C6ECD" w:rsidP="000C6ECD">
      <w:r>
        <w:rPr>
          <w:noProof/>
          <w:lang w:val="de-AT" w:eastAsia="de-AT"/>
        </w:rPr>
        <w:drawing>
          <wp:inline distT="0" distB="0" distL="0" distR="0" wp14:anchorId="5BAB6E93" wp14:editId="5ABDD2F8">
            <wp:extent cx="3152637" cy="675565"/>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150398" cy="675085"/>
                    </a:xfrm>
                    <a:prstGeom prst="rect">
                      <a:avLst/>
                    </a:prstGeom>
                  </pic:spPr>
                </pic:pic>
              </a:graphicData>
            </a:graphic>
          </wp:inline>
        </w:drawing>
      </w:r>
    </w:p>
    <w:p w:rsidR="000C6ECD" w:rsidRDefault="00E71DF8" w:rsidP="000C6ECD">
      <w:r>
        <w:t>Erfüllt werden.</w:t>
      </w:r>
    </w:p>
    <w:p w:rsidR="00E71DF8" w:rsidRDefault="00E71DF8" w:rsidP="000C6ECD">
      <w:r w:rsidRPr="00D77980">
        <w:rPr>
          <w:highlight w:val="yellow"/>
        </w:rPr>
        <w:t>Für andere Werte der relativen Feuchtigkeit</w:t>
      </w:r>
      <w:r>
        <w:t xml:space="preserve"> kann fRsi,min aus den Bildern 2 und 4 abgelesen werden.</w:t>
      </w:r>
    </w:p>
    <w:p w:rsidR="00E71DF8" w:rsidRDefault="00E71DF8" w:rsidP="000C6ECD">
      <w:r>
        <w:t>Die Gewichtungsfaktoren sind durch Lösung der zwei- und dreidimensionalen Wärmeleitungsgleichung mit Hilfe eines geeigneten Rechenprogramms zu ermitteln.</w:t>
      </w:r>
    </w:p>
    <w:p w:rsidR="00E71DF8" w:rsidRDefault="00E71DF8" w:rsidP="00E71DF8">
      <w:r>
        <w:t>Für andere Baukonstruktionen, deren Eignung nicht aus der Baupraxis bekannt ist, ist ein entsprechender Nachweis mit Berechnung der g- bzw. f-Werte zu führen. Die berechneten g-Werte sind auf 6 Dezimalstellen genau anzugeben.</w:t>
      </w:r>
    </w:p>
    <w:p w:rsidR="00D77980" w:rsidRDefault="00D77980" w:rsidP="00E71DF8">
      <w:r>
        <w:t>Zur Beurteilung der Erfüllung der Anforderungen der vorliegenden ÖNorm wird die ermittelte minimale Oberflächentemperatur bzw. der maximale fk-*-Wert, auf zwei Dezimalstellen gerundet, herangezogen.</w:t>
      </w:r>
    </w:p>
    <w:p w:rsidR="00D77980" w:rsidRDefault="00D77980" w:rsidP="00D77980">
      <w:r>
        <w:t>Berechnung der kondensierenden und der verdunstenden Wassermenge</w:t>
      </w:r>
    </w:p>
    <w:p w:rsidR="00D77980" w:rsidRDefault="00D77980" w:rsidP="00D77980">
      <w:r>
        <w:t>Die Berechnung der kondensierenden Wassermenge und der verdunstenden Wassermenge erfolgt nach dem in ÖNORM</w:t>
      </w:r>
    </w:p>
    <w:p w:rsidR="00D77980" w:rsidRDefault="00D77980" w:rsidP="00D77980">
      <w:r>
        <w:t>EN ISO 13788:2002 in den Abschnitten 6.4.6 bis 6.4.8 beschriebenen Verfahren für jeden Monat unter Zugrundelegung</w:t>
      </w:r>
    </w:p>
    <w:p w:rsidR="00D77980" w:rsidRDefault="00D77980" w:rsidP="00D77980">
      <w:r>
        <w:t>des für den jeweiligen Monat zutreffenden Mittelwerts der Außenlufttemperatur gemäß Tabelle 2 und der zugehörigen</w:t>
      </w:r>
    </w:p>
    <w:p w:rsidR="00D77980" w:rsidRDefault="00D77980" w:rsidP="00D77980">
      <w:r>
        <w:t>Feuchtigkeit gemäß 6.2 und den Innenluftbedingungen nach 6.1 (a). Die maximale akkumulierte Kondenswassermenge</w:t>
      </w:r>
    </w:p>
    <w:p w:rsidR="00D77980" w:rsidRDefault="00D77980" w:rsidP="00D77980">
      <w:r>
        <w:rPr>
          <w:noProof/>
          <w:lang w:val="de-AT" w:eastAsia="de-AT"/>
        </w:rPr>
        <w:drawing>
          <wp:inline distT="0" distB="0" distL="0" distR="0" wp14:anchorId="2E04F6CB" wp14:editId="0F7C8B29">
            <wp:extent cx="2606723" cy="408427"/>
            <wp:effectExtent l="0" t="0" r="3175"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605827" cy="408287"/>
                    </a:xfrm>
                    <a:prstGeom prst="rect">
                      <a:avLst/>
                    </a:prstGeom>
                  </pic:spPr>
                </pic:pic>
              </a:graphicData>
            </a:graphic>
          </wp:inline>
        </w:drawing>
      </w:r>
    </w:p>
    <w:p w:rsidR="00D77980" w:rsidRPr="00F92869" w:rsidRDefault="00D77980" w:rsidP="00D77980">
      <w:pPr>
        <w:pStyle w:val="berschrift5"/>
        <w:rPr>
          <w:highlight w:val="yellow"/>
        </w:rPr>
      </w:pPr>
      <w:r w:rsidRPr="00F92869">
        <w:rPr>
          <w:highlight w:val="yellow"/>
        </w:rPr>
        <w:t>Kriterien für die Beurteilung eines Bauteils</w:t>
      </w:r>
    </w:p>
    <w:p w:rsidR="00D77980" w:rsidRDefault="00D77980" w:rsidP="00D77980">
      <w:r>
        <w:t>Aus den Ergebnissen der Berechnungen können die folgenden Beurteilungen abgeleitet werden:</w:t>
      </w:r>
    </w:p>
    <w:p w:rsidR="00D77980" w:rsidRDefault="00D77980" w:rsidP="00D77980">
      <w:r>
        <w:t>(1) Eine Kondenswasserbildung wird für keine Grenzfläche und für keinen Monat vorhergesagt.</w:t>
      </w:r>
    </w:p>
    <w:p w:rsidR="00D77980" w:rsidRDefault="00D77980" w:rsidP="00D77980">
      <w:r>
        <w:t xml:space="preserve">(2) Eine </w:t>
      </w:r>
      <w:r w:rsidRPr="00F92869">
        <w:rPr>
          <w:highlight w:val="yellow"/>
        </w:rPr>
        <w:t>Kondenswasserbildung tritt an einer oder mehreren Grenzflächen auf; bei jeder betroffenen Grenzfläche wird</w:t>
      </w:r>
      <w:r w:rsidR="00F92869" w:rsidRPr="00F92869">
        <w:rPr>
          <w:highlight w:val="yellow"/>
        </w:rPr>
        <w:t xml:space="preserve"> </w:t>
      </w:r>
      <w:r w:rsidRPr="00F92869">
        <w:rPr>
          <w:highlight w:val="yellow"/>
        </w:rPr>
        <w:t>jedoch die vollständige Verdunstung des Kondenswassers in den Sommermonaten vorhergesagt</w:t>
      </w:r>
      <w:r>
        <w:t>. In diesem Fall</w:t>
      </w:r>
      <w:r w:rsidR="00F92869">
        <w:t xml:space="preserve"> </w:t>
      </w:r>
      <w:r>
        <w:t>ist zu prüfen,</w:t>
      </w:r>
    </w:p>
    <w:p w:rsidR="00F92869" w:rsidRDefault="00D77980" w:rsidP="00D77980">
      <w:r>
        <w:t xml:space="preserve">(a) ob die </w:t>
      </w:r>
      <w:r w:rsidRPr="00F92869">
        <w:rPr>
          <w:highlight w:val="yellow"/>
        </w:rPr>
        <w:t>Kondenswassermenge Ma,max in der betroffenen Bauteilschicht gespeichert werden kann</w:t>
      </w:r>
      <w:r>
        <w:t>, wobei die</w:t>
      </w:r>
      <w:r w:rsidR="00F92869">
        <w:t xml:space="preserve"> </w:t>
      </w:r>
      <w:r>
        <w:t>Kondenswassermenge an den Berührungsflächen von kapillar nicht oder wenig aufnahmefähigen Schichten</w:t>
      </w:r>
      <w:r w:rsidR="00F92869">
        <w:t xml:space="preserve"> </w:t>
      </w:r>
      <w:r>
        <w:t xml:space="preserve">(z.B. Berührungsflächen zwischen Luftschicht und Schwerbeton) </w:t>
      </w:r>
      <w:r w:rsidRPr="00F92869">
        <w:rPr>
          <w:highlight w:val="yellow"/>
        </w:rPr>
        <w:t>0,5 kg/m2 nicht überschreiten darf</w:t>
      </w:r>
      <w:r>
        <w:t>,</w:t>
      </w:r>
      <w:r w:rsidR="00F92869">
        <w:t xml:space="preserve"> </w:t>
      </w:r>
    </w:p>
    <w:p w:rsidR="00D77980" w:rsidRDefault="00D77980" w:rsidP="00D77980">
      <w:r>
        <w:t>(b) ob durch die Erhöhung des Feuchtigkeitsgehaltes eine Schädigung der betro</w:t>
      </w:r>
      <w:r w:rsidR="00F92869">
        <w:t xml:space="preserve">ffenen Baustoffschicht </w:t>
      </w:r>
      <w:r w:rsidR="00F92869" w:rsidRPr="00F92869">
        <w:rPr>
          <w:highlight w:val="yellow"/>
        </w:rPr>
        <w:t>eine sol</w:t>
      </w:r>
      <w:r w:rsidRPr="00F92869">
        <w:rPr>
          <w:highlight w:val="yellow"/>
        </w:rPr>
        <w:t>che Erhöhung der Wärmeleitfähigkeit eintritt, dass der Wärmeschutz des Bauteils um mehr als 10 % oder mehr</w:t>
      </w:r>
      <w:r w:rsidR="00F92869" w:rsidRPr="00F92869">
        <w:rPr>
          <w:highlight w:val="yellow"/>
        </w:rPr>
        <w:t xml:space="preserve"> </w:t>
      </w:r>
      <w:r w:rsidRPr="00F92869">
        <w:rPr>
          <w:highlight w:val="yellow"/>
        </w:rPr>
        <w:t>vermindert wird</w:t>
      </w:r>
      <w:r>
        <w:t>,</w:t>
      </w:r>
    </w:p>
    <w:p w:rsidR="00D77980" w:rsidRDefault="00D77980" w:rsidP="00D77980">
      <w:r>
        <w:t xml:space="preserve">(c) ob durch die Erhöhung des Feuchtigkeitsgehaltes eine </w:t>
      </w:r>
      <w:r w:rsidRPr="00F92869">
        <w:rPr>
          <w:highlight w:val="yellow"/>
        </w:rPr>
        <w:t>Schädigung der betroffenen Baustoffe</w:t>
      </w:r>
      <w:r>
        <w:t xml:space="preserve"> auftreten kann</w:t>
      </w:r>
      <w:r w:rsidR="00F92869">
        <w:t xml:space="preserve"> </w:t>
      </w:r>
      <w:r>
        <w:t>(</w:t>
      </w:r>
      <w:r w:rsidRPr="00F92869">
        <w:rPr>
          <w:highlight w:val="yellow"/>
        </w:rPr>
        <w:t>Korrosion, Pilzbefall, Frostzerstörung oder Ähnliches</w:t>
      </w:r>
      <w:r>
        <w:t xml:space="preserve">); </w:t>
      </w:r>
      <w:r w:rsidRPr="00F92869">
        <w:rPr>
          <w:highlight w:val="yellow"/>
        </w:rPr>
        <w:t>für Holz und Holzwerkstoffe</w:t>
      </w:r>
      <w:r>
        <w:t xml:space="preserve"> ist eine Erhöhung des</w:t>
      </w:r>
      <w:r w:rsidR="00F92869">
        <w:t xml:space="preserve"> </w:t>
      </w:r>
      <w:r>
        <w:t xml:space="preserve">massebezogenen Feuchtigkeitsgehalts um </w:t>
      </w:r>
      <w:r w:rsidRPr="00F92869">
        <w:rPr>
          <w:highlight w:val="yellow"/>
        </w:rPr>
        <w:t>mehr als 3 % unzulässig</w:t>
      </w:r>
      <w:r>
        <w:t>.</w:t>
      </w:r>
    </w:p>
    <w:p w:rsidR="00D77980" w:rsidRDefault="00D77980" w:rsidP="00D77980">
      <w:r>
        <w:t xml:space="preserve">(3) Das Kondenswasser, das sich an einer oder mehreren Grenzflächen bildet, </w:t>
      </w:r>
      <w:r w:rsidRPr="00F92869">
        <w:rPr>
          <w:highlight w:val="yellow"/>
        </w:rPr>
        <w:t>verdunstet unvollständig in den Sommermonaten; in diesem Fall kann eine fortschreitende Durchfeuchtung</w:t>
      </w:r>
      <w:r>
        <w:t xml:space="preserve"> über mehrere Jahre auftreten und zu Schäden führen.</w:t>
      </w:r>
    </w:p>
    <w:p w:rsidR="00E71DF8" w:rsidRDefault="00E71DF8" w:rsidP="00E71DF8"/>
    <w:p w:rsidR="00F92869" w:rsidRDefault="00F92869" w:rsidP="00F92869">
      <w:pPr>
        <w:pStyle w:val="berschrift5"/>
      </w:pPr>
      <w:r>
        <w:t>Thermische und hygrische Kennwerte von Baumaterialien</w:t>
      </w:r>
    </w:p>
    <w:p w:rsidR="00F92869" w:rsidRDefault="00F92869" w:rsidP="00F92869">
      <w:pPr>
        <w:pStyle w:val="berschrift6"/>
      </w:pPr>
      <w:r>
        <w:t>Wärmeleitfähigkeit und Diffusionswiderstandszahl</w:t>
      </w:r>
    </w:p>
    <w:p w:rsidR="00F92869" w:rsidRDefault="00F92869" w:rsidP="00F92869">
      <w:r>
        <w:t xml:space="preserve">Für die Wärmeleitfähigkeit ist grundsätzlich der </w:t>
      </w:r>
      <w:r w:rsidRPr="00F92869">
        <w:rPr>
          <w:highlight w:val="yellow"/>
        </w:rPr>
        <w:t>Bemessungswert gemäß ÖNORM EN ISO 10456</w:t>
      </w:r>
      <w:r>
        <w:t xml:space="preserve"> bzw. der Tabellenwert nach ON-V 31 einzusetzen. </w:t>
      </w:r>
      <w:r w:rsidRPr="00F92869">
        <w:rPr>
          <w:highlight w:val="yellow"/>
        </w:rPr>
        <w:t>Die Wasserdampfdiffusions-widerstandszahl</w:t>
      </w:r>
      <w:r>
        <w:t xml:space="preserve"> für einen bestimmten Baustoff ist gemäß dem Messergebnis einer österreichischen akkreditierten Prüfanstalt nach </w:t>
      </w:r>
      <w:r w:rsidRPr="00F92869">
        <w:rPr>
          <w:highlight w:val="yellow"/>
        </w:rPr>
        <w:t>ÖNORM EN ISO 12572</w:t>
      </w:r>
      <w:r>
        <w:t xml:space="preserve"> oder einer gleichwertigen Norm bzw. mit dem </w:t>
      </w:r>
      <w:r w:rsidRPr="00F92869">
        <w:rPr>
          <w:highlight w:val="yellow"/>
        </w:rPr>
        <w:t>Richtwert nach ÖNORM EN 12524</w:t>
      </w:r>
      <w:r>
        <w:t xml:space="preserve"> einzusetzen.</w:t>
      </w:r>
    </w:p>
    <w:p w:rsidR="00F92869" w:rsidRDefault="00F92869" w:rsidP="00F92869">
      <w:pPr>
        <w:pStyle w:val="berschrift6"/>
      </w:pPr>
      <w:r>
        <w:t>Einfluss des Feuchtigkeitsgehaltes auf die Wärmeleitfähigkeit</w:t>
      </w:r>
    </w:p>
    <w:p w:rsidR="00F92869" w:rsidRDefault="00F92869" w:rsidP="00F92869">
      <w:r>
        <w:t xml:space="preserve">Zur Beurteilung der Zulässigkeit bzw. Schädlichkeit einer Feuchtigkeitsanreicherung in Baustoffen dienen die Angaben über den praktischen Feuchtigkeitsgehalt in Baustoffen und über die Zunahme der Wärmeleitfähigkeit von Baustoffen mit dem Feuchtigkeitsgehalt infolge von Wasserdampfanreicherung im Bauteilinneren. Diese Angaben sind in </w:t>
      </w:r>
      <w:r w:rsidRPr="00F92869">
        <w:rPr>
          <w:highlight w:val="yellow"/>
        </w:rPr>
        <w:t>ÖNORM B 6015-2</w:t>
      </w:r>
      <w:r>
        <w:t xml:space="preserve"> enthalten.</w:t>
      </w:r>
    </w:p>
    <w:p w:rsidR="00F92869" w:rsidRDefault="00F92869" w:rsidP="00F92869">
      <w:r>
        <w:t>ANMERKUNG:</w:t>
      </w:r>
    </w:p>
    <w:p w:rsidR="005F1B2F" w:rsidRDefault="00F92869" w:rsidP="00F92869">
      <w:r>
        <w:t xml:space="preserve">Der </w:t>
      </w:r>
      <w:r w:rsidRPr="00F92869">
        <w:rPr>
          <w:highlight w:val="yellow"/>
        </w:rPr>
        <w:t>praktische Feuchtigkeitsgehalt</w:t>
      </w:r>
      <w:r>
        <w:t xml:space="preserve"> wird in normal bewohnten und beheizten Gebäuden in 90 % aller Fälle unterschritten. Er ist gegeben durch die hygroskopische Feuchtigkeitsaufnahme der Baustoffe aus der Luft und durch den Feuchtigkeitstransport durch den Bauteil. Er wird nach </w:t>
      </w:r>
      <w:r w:rsidRPr="00F92869">
        <w:rPr>
          <w:highlight w:val="yellow"/>
        </w:rPr>
        <w:t>ÖNORM B 6015-2 bestimmt als der Adsorptionsfeuchtegehalt bei 23 °C Lufttemperatur und 80 % relativer Luftfeuchtigkeit</w:t>
      </w:r>
      <w:r>
        <w:t>.</w:t>
      </w:r>
    </w:p>
    <w:p w:rsidR="00F92869" w:rsidRDefault="00F92869" w:rsidP="00F92869">
      <w:pPr>
        <w:pStyle w:val="berschrift6"/>
      </w:pPr>
      <w:r>
        <w:t>Bauteile, für die kein diffusionstechnischer Nachweis erforderlich ist</w:t>
      </w:r>
    </w:p>
    <w:p w:rsidR="00F92869" w:rsidRDefault="00F92869" w:rsidP="00F92869">
      <w:pPr>
        <w:pStyle w:val="berschrift6"/>
      </w:pPr>
      <w:r>
        <w:t>Allgemeines</w:t>
      </w:r>
    </w:p>
    <w:p w:rsidR="00F92869" w:rsidRDefault="00F92869" w:rsidP="00F92869">
      <w:r>
        <w:t xml:space="preserve">Für die gemäß 6.1 zu Grunde zu legenden Innenluftbedingungen und die Außenluftbedingungen gemäß 6.2 ist ein rechnerischer Nachweis über das wasserdampfdiffusionstechnische Verhalten der in </w:t>
      </w:r>
      <w:r w:rsidRPr="008127E9">
        <w:rPr>
          <w:highlight w:val="yellow"/>
        </w:rPr>
        <w:t>10.2 bis 10.11</w:t>
      </w:r>
      <w:r>
        <w:t xml:space="preserve"> angeführten Bauteile </w:t>
      </w:r>
      <w:r w:rsidRPr="008127E9">
        <w:rPr>
          <w:highlight w:val="yellow"/>
        </w:rPr>
        <w:t>(wenn sie die Anforderungen gemäß 7.2 erfüllen)</w:t>
      </w:r>
      <w:r>
        <w:t xml:space="preserve"> nicht erforderlich.</w:t>
      </w:r>
    </w:p>
    <w:p w:rsidR="00F92869" w:rsidRDefault="00F92869" w:rsidP="00F92869">
      <w:r>
        <w:t>Für Konstruktionen/Bauteile, für die ein positiver Nachweis gemäß ÖNORM B 8110-2:1995-12 vorliegt, ist eine neuerlicher rechnerischen Nachweis über das Wasserdampfdiffussions-technische Verhalten nach der vorliegenden ÖNORM nicht erforderlich.</w:t>
      </w:r>
    </w:p>
    <w:p w:rsidR="00F92869" w:rsidRDefault="00F92869" w:rsidP="00F92869">
      <w:pPr>
        <w:pStyle w:val="berschrift6"/>
      </w:pPr>
      <w:r>
        <w:t>Außenwände ohne oder mit äußerer Wärmedämmschicht</w:t>
      </w:r>
    </w:p>
    <w:p w:rsidR="00F92869" w:rsidRDefault="00F92869" w:rsidP="00F92869">
      <w:r>
        <w:t>– Mauerwerk aus Voll- oder Hohlziegeln</w:t>
      </w:r>
    </w:p>
    <w:p w:rsidR="00F92869" w:rsidRDefault="00F92869" w:rsidP="00F92869">
      <w:r>
        <w:t>– Mauerwerk aus Voll- oder Hohlsteinen aus Beton bzw. Leicht- oder Porenbeton</w:t>
      </w:r>
    </w:p>
    <w:p w:rsidR="00F92869" w:rsidRDefault="00F92869" w:rsidP="00F92869">
      <w:r>
        <w:t>– Wände aus Beton bzw. Leichtbeton</w:t>
      </w:r>
    </w:p>
    <w:p w:rsidR="00F92869" w:rsidRDefault="00F92869" w:rsidP="00F92869">
      <w:r>
        <w:t xml:space="preserve">jeweils mit lnnenputz oder innerer Verkleidung (mit einem Rt-Wert von jeweils maximal 0,2 m2 </w:t>
      </w:r>
      <w:r>
        <w:rPr>
          <w:rFonts w:ascii="Cambria Math" w:hAnsi="Cambria Math" w:cs="Cambria Math"/>
        </w:rPr>
        <w:t>⋅</w:t>
      </w:r>
      <w:r>
        <w:t xml:space="preserve"> K/W) mit einer diffusionsäquivalenten Luftschichtdicke µ · d &gt; 0,15 m und mit mineralisch gebundenem Außenputz, einer hinterlüfteten Verkleidung oder einem Außenwand-Dämmsystem gemäß ÖNORM B 6110, dessen diffusionsäquivalente Luftschichtdicke nicht größer als das zehnfache der diffusionsäquivalenten Luftschichtdicke des Innenputzes oder der inneren Verkleidung ist.</w:t>
      </w:r>
    </w:p>
    <w:p w:rsidR="00F92869" w:rsidRPr="008127E9" w:rsidRDefault="00F92869" w:rsidP="00F92869">
      <w:pPr>
        <w:pStyle w:val="berschrift6"/>
        <w:rPr>
          <w:highlight w:val="yellow"/>
        </w:rPr>
      </w:pPr>
      <w:r w:rsidRPr="008127E9">
        <w:rPr>
          <w:highlight w:val="yellow"/>
        </w:rPr>
        <w:t>Außenwände mit innerer Wärmedämmschicht</w:t>
      </w:r>
    </w:p>
    <w:p w:rsidR="00F92869" w:rsidRPr="008127E9" w:rsidRDefault="00F92869" w:rsidP="00F92869">
      <w:pPr>
        <w:rPr>
          <w:highlight w:val="yellow"/>
        </w:rPr>
      </w:pPr>
      <w:r w:rsidRPr="008127E9">
        <w:rPr>
          <w:highlight w:val="yellow"/>
        </w:rPr>
        <w:t>– Wände aus Voll- oder Hohlziegeln</w:t>
      </w:r>
    </w:p>
    <w:p w:rsidR="00F92869" w:rsidRPr="008127E9" w:rsidRDefault="00F92869" w:rsidP="00F92869">
      <w:pPr>
        <w:rPr>
          <w:highlight w:val="yellow"/>
        </w:rPr>
      </w:pPr>
      <w:r w:rsidRPr="008127E9">
        <w:rPr>
          <w:highlight w:val="yellow"/>
        </w:rPr>
        <w:t>– Wände aus Hohlblocksteinen oder Leichtbeton</w:t>
      </w:r>
    </w:p>
    <w:p w:rsidR="00F92869" w:rsidRDefault="00F92869" w:rsidP="00F92869">
      <w:r w:rsidRPr="008127E9">
        <w:rPr>
          <w:highlight w:val="yellow"/>
        </w:rPr>
        <w:t>mit jeweils innerer Wärmedämmschicht, wenn die diffusionsäquivalente Luftschichtdicke der raumseitigen Abdeckung</w:t>
      </w:r>
      <w:r w:rsidR="008127E9" w:rsidRPr="008127E9">
        <w:rPr>
          <w:highlight w:val="yellow"/>
        </w:rPr>
        <w:t xml:space="preserve"> </w:t>
      </w:r>
      <w:r w:rsidRPr="008127E9">
        <w:rPr>
          <w:highlight w:val="yellow"/>
        </w:rPr>
        <w:t>einschließlich der Wärmedämmschicht µ · d ≥ 2 m beträgt und sich außen Verputz oder eine hinterlüftete Verkleidung</w:t>
      </w:r>
      <w:r w:rsidR="008127E9" w:rsidRPr="008127E9">
        <w:rPr>
          <w:highlight w:val="yellow"/>
        </w:rPr>
        <w:t xml:space="preserve"> </w:t>
      </w:r>
      <w:r w:rsidRPr="008127E9">
        <w:rPr>
          <w:highlight w:val="yellow"/>
        </w:rPr>
        <w:t>befindet.</w:t>
      </w:r>
    </w:p>
    <w:p w:rsidR="00E77BB8" w:rsidRDefault="00E77BB8" w:rsidP="00E77BB8">
      <w:pPr>
        <w:pStyle w:val="berschrift6"/>
      </w:pPr>
      <w:r>
        <w:t>Außenwände mit innerer und äußerer Wärmedämmschicht</w:t>
      </w:r>
    </w:p>
    <w:p w:rsidR="00E77BB8" w:rsidRDefault="00E77BB8" w:rsidP="00E77BB8">
      <w:r>
        <w:t>Außenwände aus einer massiven Wandschale mit einer inneren und äußeren Dämmschichte, sofern</w:t>
      </w:r>
    </w:p>
    <w:p w:rsidR="00E77BB8" w:rsidRDefault="00E77BB8" w:rsidP="00E77BB8">
      <w:r>
        <w:t>– die Wände innen in üblicher Weise verputzt oder verkleidet sind (mit einer diffusionsäquivalenten Luftschichtdicke</w:t>
      </w:r>
      <w:r w:rsidR="002471CC">
        <w:t xml:space="preserve"> </w:t>
      </w:r>
      <w:r>
        <w:t>µ · d ≥ 0,2 m),</w:t>
      </w:r>
    </w:p>
    <w:p w:rsidR="00E77BB8" w:rsidRDefault="00E77BB8" w:rsidP="00E77BB8">
      <w:r>
        <w:t>– der Wärmedurchlasswiderstand der inneren Dämmschicht höchstens 25 % des Gesamt-Wärmedurchlasswiderstandes beträgt,</w:t>
      </w:r>
    </w:p>
    <w:p w:rsidR="00E77BB8" w:rsidRDefault="00E77BB8" w:rsidP="00E77BB8">
      <w:r>
        <w:t>– die Wände außen mit einer hinterlüfteten Verkleidung</w:t>
      </w:r>
      <w:r w:rsidR="002471CC">
        <w:t xml:space="preserve"> 3</w:t>
      </w:r>
      <w:r>
        <w:t>) oder mit mineralisch gebundenem Putz oder mit einem</w:t>
      </w:r>
    </w:p>
    <w:p w:rsidR="00F92869" w:rsidRDefault="00E77BB8" w:rsidP="00E77BB8">
      <w:r>
        <w:t>Außenwand-Dämmsystem gemäß ÖNORM B 6110 verputzt oder verkleidet sind, und die diffusionsäquivalente Luftschichtdicke des Außenputzes bzw. der Deckschichte nicht größer als das zehnfache der diffusionsäquivalenten Luftschichtdicke des Innenputzes oder der inneren Verkleidung ist.</w:t>
      </w:r>
    </w:p>
    <w:p w:rsidR="00E77BB8" w:rsidRDefault="00E77BB8" w:rsidP="00E77BB8">
      <w:pPr>
        <w:pStyle w:val="berschrift6"/>
      </w:pPr>
      <w:r>
        <w:t>Prüfung der Verringerung der Wärmedämmung durch Feuchtigkeitseinfluss</w:t>
      </w:r>
    </w:p>
    <w:p w:rsidR="00E77BB8" w:rsidRDefault="00E77BB8" w:rsidP="00E77BB8">
      <w:pPr>
        <w:jc w:val="both"/>
      </w:pPr>
      <w:r>
        <w:t>Die maximale akkumulierte Kondenswassermenge beträgt 0,393 kg/m2. Sie wird für die Prüfung sowohl der warmseitig der Kondensationsebene liegenden Mineralwolle-Schichte als auch der kaltseitig liegenden Hohlziegelschichte zugeordnet.</w:t>
      </w:r>
    </w:p>
    <w:p w:rsidR="00E77BB8" w:rsidRDefault="00E77BB8" w:rsidP="00E77BB8">
      <w:pPr>
        <w:jc w:val="both"/>
      </w:pPr>
      <w:r>
        <w:t>Zuordnung zur Mineralwolle:</w:t>
      </w:r>
    </w:p>
    <w:p w:rsidR="00E77BB8" w:rsidRDefault="00E77BB8" w:rsidP="00E77BB8">
      <w:pPr>
        <w:jc w:val="both"/>
      </w:pPr>
      <w:r>
        <w:t>Mit 0,393 kg/m2 Wasser beträgt der volumsbezogene Feuchtigkeitsgehalt in der 10 cm dicken Schichte 0,0039 m3/m3.</w:t>
      </w:r>
    </w:p>
    <w:p w:rsidR="00E77BB8" w:rsidRDefault="00E77BB8" w:rsidP="00E77BB8">
      <w:pPr>
        <w:jc w:val="both"/>
      </w:pPr>
      <w:r>
        <w:t>Gemäß ÖNORMB 6015-2 beträgt der Feuchteumrechnungskoeffizient für Mineralwolle fψ = 4 m3/m3 und der praktische Feuchtigkeitsgehalt 0 %.</w:t>
      </w:r>
    </w:p>
    <w:p w:rsidR="00E77BB8" w:rsidRDefault="00E77BB8" w:rsidP="00E77BB8">
      <w:pPr>
        <w:jc w:val="both"/>
      </w:pPr>
      <w:r>
        <w:t>Der Feuchtigkeitsfaktor für den Feuchtigkeitsgehalt von 0,0039 m3/m3 errechnet sich</w:t>
      </w:r>
    </w:p>
    <w:p w:rsidR="00E77BB8" w:rsidRDefault="00E77BB8" w:rsidP="00E77BB8">
      <w:pPr>
        <w:jc w:val="both"/>
      </w:pPr>
      <w:r>
        <w:t>Fψ = efψ . 0,00393 = 1,016</w:t>
      </w:r>
    </w:p>
    <w:p w:rsidR="00E77BB8" w:rsidRDefault="00E77BB8" w:rsidP="00E77BB8">
      <w:pPr>
        <w:jc w:val="both"/>
      </w:pPr>
      <w:r>
        <w:t>d.h. die Wärmeleitfähigkeit wird um 1,6 % erhöht; diese liegt weit unter der zulässigen Erhöhung gemäß 8.3.</w:t>
      </w:r>
    </w:p>
    <w:p w:rsidR="00E77BB8" w:rsidRDefault="00E77BB8" w:rsidP="00E77BB8">
      <w:pPr>
        <w:jc w:val="both"/>
      </w:pPr>
      <w:r>
        <w:t>Zuordnung zum Hohlziegel:</w:t>
      </w:r>
    </w:p>
    <w:p w:rsidR="00E77BB8" w:rsidRDefault="00E77BB8" w:rsidP="00E77BB8">
      <w:pPr>
        <w:jc w:val="both"/>
      </w:pPr>
      <w:r>
        <w:t>Mit 0,393 kg/m2 Wasser beträgt der volumsbezogene Feuchtigkeitsgehalt in der 12 cm dicken Schichte 0,0033 m3/m3.</w:t>
      </w:r>
    </w:p>
    <w:p w:rsidR="00E77BB8" w:rsidRDefault="00E77BB8" w:rsidP="00E77BB8">
      <w:pPr>
        <w:jc w:val="both"/>
      </w:pPr>
      <w:r>
        <w:t>Gemäß ÖNORM B 6015-2 beträgt der Feuchteumrechnungskoeffizient für Vollziegel fψ = 10 m3/m3.</w:t>
      </w:r>
    </w:p>
    <w:p w:rsidR="00E77BB8" w:rsidRDefault="00E77BB8" w:rsidP="00E77BB8">
      <w:pPr>
        <w:jc w:val="both"/>
      </w:pPr>
      <w:r>
        <w:t>Der Feuchtigkeitsfaktor für den Feuchtigkeitsgehalt von 0,0033 m3/m3 errechnet sich</w:t>
      </w:r>
    </w:p>
    <w:p w:rsidR="00E77BB8" w:rsidRDefault="00E77BB8" w:rsidP="00E77BB8">
      <w:pPr>
        <w:jc w:val="both"/>
      </w:pPr>
      <w:r>
        <w:t>Fψ = efψ . 0,0033 = 1,034</w:t>
      </w:r>
    </w:p>
    <w:p w:rsidR="00E77BB8" w:rsidRDefault="00E77BB8" w:rsidP="00E77BB8">
      <w:pPr>
        <w:jc w:val="both"/>
      </w:pPr>
      <w:r>
        <w:t>d.h. die Wärmeleitfähigkeit wird um 3,4 % erhöht; diese liegt weit unter der zulässigen Erhöhung gemäß 8.3.</w:t>
      </w:r>
    </w:p>
    <w:p w:rsidR="00E77BB8" w:rsidRDefault="00B43525" w:rsidP="00E77BB8">
      <w:pPr>
        <w:jc w:val="both"/>
      </w:pPr>
      <w:r>
        <w:t xml:space="preserve">Feuchteschutztechnische Eigenschaften und spezifische Wärmekapazität von Wärmedämm- und Mauerwerkstoffen DIN EN ISO 10456 </w:t>
      </w:r>
      <w:r>
        <w:fldChar w:fldCharType="begin"/>
      </w:r>
      <w:r>
        <w:instrText xml:space="preserve"> ADDIN EN.CITE &lt;EndNote&gt;&lt;Cite&gt;&lt;Author&gt;ISO&lt;/Author&gt;&lt;Year&gt;2010&lt;/Year&gt;&lt;RecNum&gt;257&lt;/RecNum&gt;&lt;DisplayText&gt;(ISO, 2010)&lt;/DisplayText&gt;&lt;record&gt;&lt;rec-number&gt;257&lt;/rec-number&gt;&lt;foreign-keys&gt;&lt;key app="EN" db-id="zxrx2rspbdeppzeza5fv0e03vdwxr5svazdr" timestamp="1331399088"&gt;257&lt;/key&gt;&lt;/foreign-keys&gt;&lt;ref-type name="Report"&gt;27&lt;/ref-type&gt;&lt;contributors&gt;&lt;authors&gt;&lt;author&gt;DIN EN ISO&lt;/author&gt;&lt;/authors&gt;&lt;/contributors&gt;&lt;titles&gt;&lt;title&gt;DIN EN ISO 10456 Baustoffe und Bauprodukte – Wärme- und feuchtetechnische Eigenschaften – Tabellierte Bemessungswerte und Verfahren zur Bestimmung der wärmeschutztechnischen Nenn- und Bemessungswerte&lt;/title&gt;&lt;/titles&gt;&lt;dates&gt;&lt;year&gt;2010&lt;/year&gt;&lt;/dates&gt;&lt;urls&gt;&lt;/urls&gt;&lt;/record&gt;&lt;/Cite&gt;&lt;/EndNote&gt;</w:instrText>
      </w:r>
      <w:r>
        <w:fldChar w:fldCharType="separate"/>
      </w:r>
      <w:r>
        <w:rPr>
          <w:noProof/>
        </w:rPr>
        <w:t>(</w:t>
      </w:r>
      <w:hyperlink w:anchor="_ENREF_7" w:tooltip="ISO, 2010 #257" w:history="1">
        <w:r w:rsidR="00C64325">
          <w:rPr>
            <w:noProof/>
          </w:rPr>
          <w:t>ISO, 2010</w:t>
        </w:r>
      </w:hyperlink>
      <w:r>
        <w:rPr>
          <w:noProof/>
        </w:rPr>
        <w:t>)</w:t>
      </w:r>
      <w:r>
        <w:fldChar w:fldCharType="end"/>
      </w:r>
      <w:r>
        <w:t>.</w:t>
      </w:r>
    </w:p>
    <w:p w:rsidR="00B43525" w:rsidRDefault="00551830" w:rsidP="00E77BB8">
      <w:pPr>
        <w:jc w:val="both"/>
      </w:pPr>
      <w:r>
        <w:rPr>
          <w:noProof/>
          <w:lang w:val="de-AT" w:eastAsia="de-AT"/>
        </w:rPr>
        <w:drawing>
          <wp:inline distT="0" distB="0" distL="0" distR="0" wp14:anchorId="2B9C63ED" wp14:editId="3D2F13C2">
            <wp:extent cx="5760085" cy="3256659"/>
            <wp:effectExtent l="0" t="0" r="0" b="127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085" cy="3256659"/>
                    </a:xfrm>
                    <a:prstGeom prst="rect">
                      <a:avLst/>
                    </a:prstGeom>
                  </pic:spPr>
                </pic:pic>
              </a:graphicData>
            </a:graphic>
          </wp:inline>
        </w:drawing>
      </w:r>
    </w:p>
    <w:p w:rsidR="00551830" w:rsidRDefault="00551830" w:rsidP="00E77BB8">
      <w:pPr>
        <w:jc w:val="both"/>
      </w:pPr>
      <w:r>
        <w:rPr>
          <w:noProof/>
          <w:lang w:val="de-AT" w:eastAsia="de-AT"/>
        </w:rPr>
        <w:drawing>
          <wp:inline distT="0" distB="0" distL="0" distR="0" wp14:anchorId="6153E479" wp14:editId="1965ED21">
            <wp:extent cx="5760085" cy="3491814"/>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60085" cy="3491814"/>
                    </a:xfrm>
                    <a:prstGeom prst="rect">
                      <a:avLst/>
                    </a:prstGeom>
                  </pic:spPr>
                </pic:pic>
              </a:graphicData>
            </a:graphic>
          </wp:inline>
        </w:drawing>
      </w:r>
    </w:p>
    <w:p w:rsidR="00C64325" w:rsidRDefault="00C64325" w:rsidP="00C64325">
      <w:pPr>
        <w:pStyle w:val="berschrift5"/>
      </w:pPr>
      <w:r>
        <w:t>Erkenntnisse aus Vorhersage-Modellen bezüglich Schimmelpilz-Wachstum 8110-2 Beiblatt 4</w:t>
      </w:r>
    </w:p>
    <w:p w:rsidR="00C64325" w:rsidRDefault="00C64325" w:rsidP="00C64325">
      <w:pPr>
        <w:jc w:val="both"/>
      </w:pPr>
      <w:r>
        <w:t>In Anhang A sind verschiedene in der Literatur beschriebene Modelle für die Wachstumsbedingungen von Schimmelpil-</w:t>
      </w:r>
    </w:p>
    <w:p w:rsidR="00C64325" w:rsidRDefault="00C64325" w:rsidP="00C64325">
      <w:pPr>
        <w:jc w:val="both"/>
      </w:pPr>
      <w:r>
        <w:t>zen angeführt. Die folgenden Schlussfolgerungen für die erforderlichen Bedingungen zur Vermeidung von Schimmel</w:t>
      </w:r>
    </w:p>
    <w:p w:rsidR="00C64325" w:rsidRDefault="00C64325" w:rsidP="00C64325">
      <w:pPr>
        <w:jc w:val="both"/>
      </w:pPr>
      <w:r>
        <w:t>können daraus abgeleitet werden:</w:t>
      </w:r>
    </w:p>
    <w:p w:rsidR="00C64325" w:rsidRDefault="00C64325" w:rsidP="00C64325">
      <w:pPr>
        <w:jc w:val="both"/>
      </w:pPr>
      <w:r>
        <w:t>(a) Konditionen für Keimung und Myzelwachstum sind für Schimmelpilze der</w:t>
      </w:r>
    </w:p>
    <w:p w:rsidR="00C64325" w:rsidRDefault="00C64325" w:rsidP="00C64325">
      <w:pPr>
        <w:jc w:val="both"/>
      </w:pPr>
      <w:r>
        <w:t>– Gefährdungsklasse A..............5 °C bis 50 °C, 74 % bis 96 % Luftfeuchtigkeit, pH = 2 bis 10</w:t>
      </w:r>
    </w:p>
    <w:p w:rsidR="00C64325" w:rsidRDefault="00C64325" w:rsidP="00C64325">
      <w:pPr>
        <w:jc w:val="both"/>
      </w:pPr>
      <w:r>
        <w:t>– Gefährdungsklasse B..............3 °C bis 50 °C, 70 % bis 94 % Luftfeuchtigkeit, pH = 2 bis 11</w:t>
      </w:r>
    </w:p>
    <w:p w:rsidR="00C64325" w:rsidRDefault="00C64325" w:rsidP="00C64325">
      <w:pPr>
        <w:jc w:val="both"/>
      </w:pPr>
      <w:r>
        <w:t>– Gefährdungsklasse C..............2 °C bis 33 °C, 70 % bis 95 % Luftfeuchtigkeit, pH = 2 bis 10</w:t>
      </w:r>
    </w:p>
    <w:p w:rsidR="00C64325" w:rsidRDefault="00C64325" w:rsidP="00C64325">
      <w:pPr>
        <w:jc w:val="both"/>
      </w:pPr>
      <w:r>
        <w:t>sofern eine ausreichende Nährstoff-Versorgung auf der Wachstumsoberfläche besteht.</w:t>
      </w:r>
    </w:p>
    <w:p w:rsidR="00C64325" w:rsidRDefault="00C64325" w:rsidP="00C64325">
      <w:pPr>
        <w:jc w:val="both"/>
      </w:pPr>
      <w:r>
        <w:t>(b) Gute Voraussetzungen zur Unterdrückung von Sporenkeimung und Myzelwachstum bestehen, wenn</w:t>
      </w:r>
    </w:p>
    <w:p w:rsidR="00C64325" w:rsidRDefault="00C64325" w:rsidP="00C64325">
      <w:pPr>
        <w:jc w:val="both"/>
      </w:pPr>
      <w:r>
        <w:t>– die relative Luftfeuchtigkeit an der Bauteil-Oberfläche überwiegend unter 80 %</w:t>
      </w:r>
    </w:p>
    <w:p w:rsidR="00C64325" w:rsidRDefault="00C64325" w:rsidP="00C64325">
      <w:pPr>
        <w:jc w:val="both"/>
      </w:pPr>
      <w:r>
        <w:t>– der pH-Wert über 11</w:t>
      </w:r>
    </w:p>
    <w:p w:rsidR="00C64325" w:rsidRDefault="00C64325" w:rsidP="00C64325">
      <w:pPr>
        <w:jc w:val="both"/>
      </w:pPr>
      <w:r>
        <w:t>gehalten wird oder die Nährstoff-Versorgung (z.B. durch Reinhaltung der Oberflächen) verhindert oder unterdrückt</w:t>
      </w:r>
    </w:p>
    <w:p w:rsidR="00C64325" w:rsidRDefault="00C64325" w:rsidP="00C64325">
      <w:pPr>
        <w:jc w:val="both"/>
      </w:pPr>
      <w:r>
        <w:t>wird.</w:t>
      </w:r>
    </w:p>
    <w:p w:rsidR="00551830" w:rsidRDefault="00C64325" w:rsidP="00C64325">
      <w:pPr>
        <w:jc w:val="both"/>
      </w:pPr>
      <w:r>
        <w:t>(c) Um die relative Luftfeuchtigkeit an den inneren Bauteil-Oberflächen nur über kürzere Zeiträume (d.h. „Time of Wetness“ TOW &lt; 0,25) über 80 % ansteigen zu lassen, ist der Temperaturfaktor fRsi der Außenbauteile frsi &gt; 0,7</w:t>
      </w:r>
    </w:p>
    <w:p w:rsidR="00C64325" w:rsidRDefault="00C64325" w:rsidP="00C64325">
      <w:pPr>
        <w:jc w:val="both"/>
      </w:pPr>
      <w:r>
        <w:t>Anhang A (informativ): Vorhersage-Modelle bezüglich Schimmelpilz-Wachstum</w:t>
      </w:r>
    </w:p>
    <w:p w:rsidR="00C64325" w:rsidRPr="00C64325" w:rsidRDefault="00C64325" w:rsidP="00C64325">
      <w:pPr>
        <w:jc w:val="both"/>
        <w:rPr>
          <w:lang w:val="en-US"/>
        </w:rPr>
      </w:pPr>
      <w:r w:rsidRPr="00C64325">
        <w:rPr>
          <w:lang w:val="en-US"/>
        </w:rPr>
        <w:t>A.1 Modell „Time of Wetness“ TOW (1994)</w:t>
      </w:r>
    </w:p>
    <w:p w:rsidR="00C64325" w:rsidRDefault="00C64325" w:rsidP="00C64325">
      <w:pPr>
        <w:jc w:val="both"/>
      </w:pPr>
      <w:r>
        <w:t>O. Adan beschreibt Messergebnisse über Pilzwachstum unter stationären Bedingungen. Zur Beschreibung in stationären</w:t>
      </w:r>
    </w:p>
    <w:p w:rsidR="00C64325" w:rsidRDefault="00C64325" w:rsidP="00C64325">
      <w:pPr>
        <w:jc w:val="both"/>
      </w:pPr>
      <w:r>
        <w:t>Feuchtigkeitsverläufen wird die Bewertung auf der Basis der „Time of Wetness“ vorgeschlagen. TOW ist die Anzahl der</w:t>
      </w:r>
    </w:p>
    <w:p w:rsidR="00C64325" w:rsidRDefault="00C64325" w:rsidP="00C64325">
      <w:pPr>
        <w:jc w:val="both"/>
      </w:pPr>
      <w:r>
        <w:t>Stunden hoher relativer Luftfeuchtigkeit (&gt; 80 %), bezogen auf 24 Stunden.</w:t>
      </w:r>
    </w:p>
    <w:p w:rsidR="00C64325" w:rsidRDefault="00C64325" w:rsidP="00C64325">
      <w:pPr>
        <w:jc w:val="both"/>
      </w:pPr>
      <w:r>
        <w:t>TOW ≤ 0,5 bedeutet im Allgemeinen nur wenig oder kein Schimmelpilz-Wachstum.</w:t>
      </w:r>
    </w:p>
    <w:p w:rsidR="00C64325" w:rsidRDefault="00C64325" w:rsidP="00C64325">
      <w:pPr>
        <w:jc w:val="both"/>
      </w:pPr>
      <w:r>
        <w:t>Vorhersage auf Basis der Fuzzy-Logik (1993, 1998)</w:t>
      </w:r>
    </w:p>
    <w:p w:rsidR="00C64325" w:rsidRDefault="00C64325" w:rsidP="00C64325">
      <w:pPr>
        <w:jc w:val="both"/>
      </w:pPr>
      <w:r>
        <w:t>Qualitative Beurteilung der Wachstumsbedingungen in Abhängigkeit von den Einflussfaktoren Temperatur, Feuchtigkeit</w:t>
      </w:r>
    </w:p>
    <w:p w:rsidR="00C64325" w:rsidRDefault="00C64325" w:rsidP="00C64325">
      <w:pPr>
        <w:jc w:val="both"/>
      </w:pPr>
      <w:r>
        <w:t>und „Substrat“.</w:t>
      </w:r>
    </w:p>
    <w:p w:rsidR="00C64325" w:rsidRDefault="00C64325" w:rsidP="00C64325">
      <w:pPr>
        <w:jc w:val="both"/>
      </w:pPr>
      <w:r>
        <w:t>Funktionale Zusammenhänge bilden die Grundlage einer Prognosemethode auf Basis der Fuzzy-Logik (Wahrscheinlich-</w:t>
      </w:r>
    </w:p>
    <w:p w:rsidR="00C64325" w:rsidRDefault="00C64325" w:rsidP="00C64325">
      <w:pPr>
        <w:jc w:val="both"/>
      </w:pPr>
      <w:r>
        <w:t>keit der Stärke des Pilzwachstums.</w:t>
      </w:r>
    </w:p>
    <w:p w:rsidR="00C64325" w:rsidRDefault="00C64325" w:rsidP="00C64325">
      <w:pPr>
        <w:jc w:val="both"/>
      </w:pPr>
      <w:r>
        <w:t>Aussage: Ja/nein-Entscheidung zum Schimmelpilzwachstum (eine allfällige negative Aussage = „kein Befall zu erwarten“</w:t>
      </w:r>
    </w:p>
    <w:p w:rsidR="00C64325" w:rsidRDefault="00C64325" w:rsidP="00C64325">
      <w:pPr>
        <w:jc w:val="both"/>
      </w:pPr>
      <w:r>
        <w:t>stimmt bei dieser Methode mit hoher Wahrscheinlichkeit).</w:t>
      </w:r>
    </w:p>
    <w:p w:rsidR="00C64325" w:rsidRDefault="00C64325" w:rsidP="00C64325">
      <w:pPr>
        <w:jc w:val="both"/>
      </w:pPr>
      <w:r>
        <w:t>Modell „Clarke + Rowan“ (1999)</w:t>
      </w:r>
    </w:p>
    <w:p w:rsidR="00C64325" w:rsidRDefault="00C64325" w:rsidP="00C64325">
      <w:pPr>
        <w:jc w:val="both"/>
      </w:pPr>
      <w:r>
        <w:t>ESP-r (Environmental Systems Performance research) = klimatisches Raummodell der Universität Glasgow</w:t>
      </w:r>
    </w:p>
    <w:p w:rsidR="00C64325" w:rsidRDefault="00C64325" w:rsidP="00C64325">
      <w:pPr>
        <w:jc w:val="both"/>
      </w:pPr>
      <w:r>
        <w:t>– Bestimmung der Oberflächentemperatur und Oberflächenfeuchtigkeit</w:t>
      </w:r>
    </w:p>
    <w:p w:rsidR="00C64325" w:rsidRDefault="00C64325" w:rsidP="00C64325">
      <w:pPr>
        <w:jc w:val="both"/>
      </w:pPr>
      <w:r>
        <w:t>– Vergleich mit Wachstumsvoraussetzungen (von 6 Klassen von Schimmelpilzen (von stark hydrophil bis stark</w:t>
      </w:r>
    </w:p>
    <w:p w:rsidR="00C64325" w:rsidRDefault="00C64325" w:rsidP="00C64325">
      <w:pPr>
        <w:jc w:val="both"/>
      </w:pPr>
      <w:r>
        <w:t>xerophil)</w:t>
      </w:r>
    </w:p>
    <w:p w:rsidR="00C64325" w:rsidRDefault="00C64325" w:rsidP="00C64325">
      <w:pPr>
        <w:jc w:val="both"/>
      </w:pPr>
      <w:r>
        <w:t>– Überschreitung dieser Isoplethen → als Wachstum der entsprechenden Pilze bewertet.</w:t>
      </w:r>
    </w:p>
    <w:p w:rsidR="00C64325" w:rsidRDefault="00C64325" w:rsidP="00C64325">
      <w:pPr>
        <w:jc w:val="both"/>
      </w:pPr>
      <w:r>
        <w:t>Isoplethen: Bereiche gleicher Vermehrungsgeschwindigkeit</w:t>
      </w:r>
    </w:p>
    <w:p w:rsidR="00C64325" w:rsidRDefault="00C64325" w:rsidP="00C64325">
      <w:pPr>
        <w:jc w:val="both"/>
      </w:pPr>
      <w:r>
        <w:t>Dieses Modell ist zur „worst case-Abschätzung“ geeignet (keine Substratabhängigkeit, keine Gefährdungsklassen).</w:t>
      </w:r>
    </w:p>
    <w:p w:rsidR="00C64325" w:rsidRDefault="00C64325" w:rsidP="00C64325">
      <w:pPr>
        <w:jc w:val="both"/>
      </w:pPr>
      <w:r>
        <w:t>Modell von Viitanen, Ritschkoff und Hakkon (1996)</w:t>
      </w:r>
    </w:p>
    <w:p w:rsidR="00C64325" w:rsidRDefault="00C64325" w:rsidP="00C64325">
      <w:pPr>
        <w:jc w:val="both"/>
      </w:pPr>
      <w:r>
        <w:t>Dieses Modell beruht auf Laboruntersuchungen an Proben aus verschiedenen Materialien (insbesondere für Fichten- und</w:t>
      </w:r>
    </w:p>
    <w:p w:rsidR="00C64325" w:rsidRDefault="00C64325" w:rsidP="00C64325">
      <w:pPr>
        <w:jc w:val="both"/>
      </w:pPr>
      <w:r>
        <w:t>Kiefernholz).</w:t>
      </w:r>
    </w:p>
    <w:p w:rsidR="00C64325" w:rsidRDefault="00C64325" w:rsidP="00C64325">
      <w:pPr>
        <w:jc w:val="both"/>
      </w:pPr>
      <w:r>
        <w:t>Zur Beurteilung des Schimmelwachstums führt Viitanen die Bezeichnung Mould-Index ein. Das Pilzwachstum wird in</w:t>
      </w:r>
    </w:p>
    <w:p w:rsidR="00C64325" w:rsidRDefault="00C64325" w:rsidP="00C64325">
      <w:pPr>
        <w:jc w:val="both"/>
      </w:pPr>
      <w:r>
        <w:t>7 Klassen (prozentueller Flächenbedeckung) eingeteilt. (0 = kein Wachstum, 1 = geringes Wachstum, nur unter dem</w:t>
      </w:r>
    </w:p>
    <w:p w:rsidR="00C64325" w:rsidRDefault="00C64325" w:rsidP="00C64325">
      <w:pPr>
        <w:jc w:val="both"/>
      </w:pPr>
      <w:r>
        <w:t>Mikroskop sichtbar ...)</w:t>
      </w:r>
    </w:p>
    <w:p w:rsidR="00C64325" w:rsidRDefault="00C64325" w:rsidP="00C64325">
      <w:pPr>
        <w:jc w:val="both"/>
      </w:pPr>
      <w:r>
        <w:t>Dieses Modell ist zur „worst case-Abschätzung“ geeignet.^</w:t>
      </w:r>
    </w:p>
    <w:p w:rsidR="00C64325" w:rsidRDefault="00C64325" w:rsidP="00C64325">
      <w:pPr>
        <w:jc w:val="both"/>
      </w:pPr>
    </w:p>
    <w:p w:rsidR="00C64325" w:rsidRDefault="00C64325" w:rsidP="00C64325">
      <w:pPr>
        <w:jc w:val="both"/>
      </w:pPr>
      <w:r>
        <w:t>Ansatz von Klaus SEDELBAUER (Dissertation 2001)</w:t>
      </w:r>
    </w:p>
    <w:p w:rsidR="00C64325" w:rsidRDefault="00C64325" w:rsidP="00C64325">
      <w:pPr>
        <w:jc w:val="both"/>
      </w:pPr>
      <w:r>
        <w:t>– Auswahl von Schimmelpilzen und Einteilung in 3 Gefährdungsklassen (erheblich gefährdend – langfristig gefähr-</w:t>
      </w:r>
    </w:p>
    <w:p w:rsidR="00C64325" w:rsidRDefault="00C64325" w:rsidP="00C64325">
      <w:pPr>
        <w:jc w:val="both"/>
      </w:pPr>
      <w:r>
        <w:t>dend – wirtschaftlich schädigend)</w:t>
      </w:r>
    </w:p>
    <w:p w:rsidR="00C64325" w:rsidRDefault="00C64325" w:rsidP="00C64325">
      <w:pPr>
        <w:jc w:val="both"/>
      </w:pPr>
      <w:r>
        <w:t>– Aufstellung der Parameter, die das Pilzwachstum beeinflussen (also Temperatur und relative Luftfeuchtigkeit),</w:t>
      </w:r>
    </w:p>
    <w:p w:rsidR="00C64325" w:rsidRDefault="00C64325" w:rsidP="00C64325">
      <w:pPr>
        <w:jc w:val="both"/>
      </w:pPr>
      <w:r>
        <w:t>Bewertungskurven für</w:t>
      </w:r>
    </w:p>
    <w:p w:rsidR="00C64325" w:rsidRDefault="00C64325" w:rsidP="00C64325">
      <w:pPr>
        <w:jc w:val="both"/>
      </w:pPr>
      <w:r>
        <w:t>(a) Sporenkeimung</w:t>
      </w:r>
    </w:p>
    <w:p w:rsidR="00C64325" w:rsidRDefault="00C64325" w:rsidP="00C64325">
      <w:pPr>
        <w:jc w:val="both"/>
      </w:pPr>
      <w:r>
        <w:t>(b) Myzelwachstum für „Substratgruppen“ (Nährstoffverfügbarkeit oder Salzgehalt, pH-Wert ...)</w:t>
      </w:r>
    </w:p>
    <w:p w:rsidR="00C64325" w:rsidRDefault="00C64325" w:rsidP="00C64325">
      <w:pPr>
        <w:jc w:val="both"/>
      </w:pPr>
      <w:r>
        <w:t>– Isoplethenmodell (Sporenkeimzeiten, Myzelwachstum) für verschiedene Gefährdungsklassen und „Substratgrup-</w:t>
      </w:r>
    </w:p>
    <w:p w:rsidR="00C64325" w:rsidRDefault="00C64325" w:rsidP="00C64325">
      <w:pPr>
        <w:jc w:val="both"/>
      </w:pPr>
      <w:r>
        <w:t>pen“ in Abhängigkeit von Temperatur und Feuchtigkeit</w:t>
      </w:r>
    </w:p>
    <w:p w:rsidR="00C64325" w:rsidRDefault="00C64325" w:rsidP="00C64325">
      <w:pPr>
        <w:jc w:val="both"/>
      </w:pPr>
      <w:r>
        <w:t>– Biohygrothermisches Modell: Berechnung des Feuchtigkeithaushaltes (Wasseraufnahme und -abgabe) einer Spo-</w:t>
      </w:r>
    </w:p>
    <w:p w:rsidR="00C64325" w:rsidRDefault="00C64325" w:rsidP="00C64325">
      <w:pPr>
        <w:jc w:val="both"/>
      </w:pPr>
      <w:r>
        <w:t>re mit Hilfe eines instationären Rechenverfahrens (ob Keimung: siehe Isoplethenmodell).</w:t>
      </w:r>
    </w:p>
    <w:p w:rsidR="00C64325" w:rsidRDefault="00C64325" w:rsidP="00C64325">
      <w:pPr>
        <w:jc w:val="both"/>
      </w:pPr>
      <w:r w:rsidRPr="00C64325">
        <w:rPr>
          <w:highlight w:val="yellow"/>
        </w:rPr>
        <w:t>WTA MERKBLATT Schimmelpilze</w:t>
      </w:r>
      <w:r w:rsidR="007906CF">
        <w:t xml:space="preserve"> 6-3-05</w:t>
      </w:r>
    </w:p>
    <w:p w:rsidR="007906CF" w:rsidRDefault="007906CF" w:rsidP="00C64325">
      <w:pPr>
        <w:jc w:val="both"/>
      </w:pPr>
      <w:r>
        <w:rPr>
          <w:noProof/>
          <w:lang w:val="de-AT" w:eastAsia="de-AT"/>
        </w:rPr>
        <w:drawing>
          <wp:inline distT="0" distB="0" distL="0" distR="0" wp14:anchorId="39129868" wp14:editId="630A519B">
            <wp:extent cx="4851779" cy="3479704"/>
            <wp:effectExtent l="0" t="0" r="6350" b="698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852394" cy="3480145"/>
                    </a:xfrm>
                    <a:prstGeom prst="rect">
                      <a:avLst/>
                    </a:prstGeom>
                  </pic:spPr>
                </pic:pic>
              </a:graphicData>
            </a:graphic>
          </wp:inline>
        </w:drawing>
      </w:r>
    </w:p>
    <w:p w:rsidR="0020747F" w:rsidRDefault="0020747F" w:rsidP="00C64325">
      <w:pPr>
        <w:jc w:val="both"/>
      </w:pPr>
    </w:p>
    <w:p w:rsidR="0020747F" w:rsidRDefault="0020747F" w:rsidP="00C64325">
      <w:pPr>
        <w:jc w:val="both"/>
      </w:pPr>
      <w:r>
        <w:t>Leitfaden für hygrothermische Simulationsrechnungen Merkblatt 6.1.01/D</w:t>
      </w:r>
    </w:p>
    <w:p w:rsidR="0020747F" w:rsidRDefault="0020747F" w:rsidP="00C64325">
      <w:pPr>
        <w:jc w:val="both"/>
      </w:pPr>
      <w:r>
        <w:t>5 Schritt: Interpretation und Bewertung</w:t>
      </w:r>
    </w:p>
    <w:p w:rsidR="0020747F" w:rsidRDefault="0020747F" w:rsidP="00C64325">
      <w:pPr>
        <w:jc w:val="both"/>
      </w:pPr>
      <w:r>
        <w:t>In einem letzten Schritt erfolgt je nach Zielsetzung entweder die anschauliche bzw. zahlenmäßige Interpretation des Ergebnisses und der Gewinn der gewünschten bauphysikalischen Einsichten oder eine Bewertung, welche in der Regel über Bewertungszahlen geschieht.</w:t>
      </w:r>
    </w:p>
    <w:p w:rsidR="0020747F" w:rsidRDefault="0020747F" w:rsidP="00C64325">
      <w:pPr>
        <w:jc w:val="both"/>
      </w:pPr>
      <w:r>
        <w:t>Bestimmung der Bewertungszahlen</w:t>
      </w:r>
    </w:p>
    <w:p w:rsidR="0020747F" w:rsidRDefault="0020747F" w:rsidP="00C64325">
      <w:pPr>
        <w:jc w:val="both"/>
      </w:pPr>
      <w:r>
        <w:t>Die Die in Abschnitt 3.2 festgelegten Bewertungsza</w:t>
      </w:r>
      <w:r w:rsidR="002471CC">
        <w:t>h</w:t>
      </w:r>
      <w:r>
        <w:t>len werden den Rechenergebnissen entnommen oder aus ihnen berechnet.</w:t>
      </w:r>
    </w:p>
    <w:p w:rsidR="0020747F" w:rsidRPr="002471CC" w:rsidRDefault="0020747F" w:rsidP="0020747F">
      <w:pPr>
        <w:pStyle w:val="Aufzhlung"/>
        <w:rPr>
          <w:highlight w:val="red"/>
        </w:rPr>
      </w:pPr>
      <w:r w:rsidRPr="002471CC">
        <w:rPr>
          <w:highlight w:val="red"/>
        </w:rPr>
        <w:t xml:space="preserve">Bleiben die Anzahl der Frost/Tauwechsel oder der maximalen Wassergehalt unter einem bestimmten Grenzwert? </w:t>
      </w:r>
    </w:p>
    <w:p w:rsidR="0020747F" w:rsidRPr="002471CC" w:rsidRDefault="0020747F" w:rsidP="0020747F">
      <w:pPr>
        <w:pStyle w:val="Aufzhlung"/>
        <w:rPr>
          <w:highlight w:val="red"/>
        </w:rPr>
      </w:pPr>
      <w:r w:rsidRPr="002471CC">
        <w:rPr>
          <w:highlight w:val="red"/>
        </w:rPr>
        <w:t xml:space="preserve">Ist die zu erwartende Austrocknungsdauer akzeptabel? </w:t>
      </w:r>
    </w:p>
    <w:p w:rsidR="0020747F" w:rsidRPr="002471CC" w:rsidRDefault="0020747F" w:rsidP="0020747F">
      <w:pPr>
        <w:pStyle w:val="Aufzhlung"/>
        <w:rPr>
          <w:highlight w:val="red"/>
        </w:rPr>
      </w:pPr>
      <w:r w:rsidRPr="002471CC">
        <w:rPr>
          <w:highlight w:val="red"/>
        </w:rPr>
        <w:t>Lassen die berec</w:t>
      </w:r>
      <w:r w:rsidR="002471CC" w:rsidRPr="002471CC">
        <w:rPr>
          <w:highlight w:val="red"/>
        </w:rPr>
        <w:t>hnete Oberflächenfeuchten und -T</w:t>
      </w:r>
      <w:r w:rsidRPr="002471CC">
        <w:rPr>
          <w:highlight w:val="red"/>
        </w:rPr>
        <w:t>emperaturen Schimmelpilzwachstum zu?</w:t>
      </w:r>
    </w:p>
    <w:p w:rsidR="0020747F" w:rsidRPr="002471CC" w:rsidRDefault="0020747F" w:rsidP="0020747F">
      <w:pPr>
        <w:pStyle w:val="Aufzhlung"/>
        <w:rPr>
          <w:highlight w:val="red"/>
        </w:rPr>
      </w:pPr>
      <w:r w:rsidRPr="002471CC">
        <w:rPr>
          <w:highlight w:val="red"/>
        </w:rPr>
        <w:t>Ziehen die berechneten Kondensatwassermengen in der Dämmung inakzeptable Wärmeverluste nach sich?</w:t>
      </w:r>
    </w:p>
    <w:p w:rsidR="0020747F" w:rsidRPr="0020747F" w:rsidRDefault="0020747F" w:rsidP="0020747F">
      <w:pPr>
        <w:pStyle w:val="Aufzhlung"/>
        <w:numPr>
          <w:ilvl w:val="0"/>
          <w:numId w:val="0"/>
        </w:numPr>
        <w:rPr>
          <w:b/>
        </w:rPr>
      </w:pPr>
      <w:r w:rsidRPr="0020747F">
        <w:rPr>
          <w:b/>
        </w:rPr>
        <w:t>Beurteilung der Bewertungszahlen</w:t>
      </w:r>
    </w:p>
    <w:p w:rsidR="0020747F" w:rsidRDefault="0020747F" w:rsidP="0020747F">
      <w:pPr>
        <w:pStyle w:val="Aufzhlung"/>
        <w:numPr>
          <w:ilvl w:val="0"/>
          <w:numId w:val="0"/>
        </w:numPr>
      </w:pPr>
      <w:r>
        <w:t xml:space="preserve">Im Falle eines einzelnen Rechenlaufes kann die Bewertung darin bestehen, dass das </w:t>
      </w:r>
      <w:r w:rsidRPr="002471CC">
        <w:rPr>
          <w:highlight w:val="red"/>
        </w:rPr>
        <w:t>Einhalten oder Verfehlen eines Grenzwertes festgestellt</w:t>
      </w:r>
      <w:r>
        <w:t xml:space="preserve"> wird. </w:t>
      </w:r>
      <w:r w:rsidRPr="002471CC">
        <w:rPr>
          <w:highlight w:val="red"/>
        </w:rPr>
        <w:t>Bei einer statistischen Serie von Rechnungen kann evtl. ein Schadensrisiko angegeben werden.</w:t>
      </w:r>
    </w:p>
    <w:p w:rsidR="0020747F" w:rsidRDefault="0020747F" w:rsidP="0020747F">
      <w:pPr>
        <w:pStyle w:val="Aufzhlung"/>
        <w:numPr>
          <w:ilvl w:val="0"/>
          <w:numId w:val="0"/>
        </w:numPr>
      </w:pPr>
      <w:r w:rsidRPr="002471CC">
        <w:rPr>
          <w:highlight w:val="red"/>
        </w:rPr>
        <w:t>Falles keine geeigneten Bewertungskriterien vorliegen, kann die Konstruktion immer noch mit anderen Konstruktionen vergleichen werden und in einer Rangfolge oder auf einer Tauglichkeitsskala eingeordnet werden.</w:t>
      </w:r>
    </w:p>
    <w:p w:rsidR="0020747F" w:rsidRDefault="0020747F" w:rsidP="0020747F">
      <w:pPr>
        <w:pStyle w:val="Aufzhlung"/>
        <w:numPr>
          <w:ilvl w:val="0"/>
          <w:numId w:val="0"/>
        </w:numPr>
      </w:pPr>
      <w:r>
        <w:t>Folgeuntersuchungen</w:t>
      </w:r>
    </w:p>
    <w:p w:rsidR="0020747F" w:rsidRDefault="0020747F" w:rsidP="0020747F">
      <w:pPr>
        <w:pStyle w:val="Aufzhlung"/>
        <w:numPr>
          <w:ilvl w:val="0"/>
          <w:numId w:val="0"/>
        </w:numPr>
      </w:pPr>
      <w:r>
        <w:t xml:space="preserve">Die in diesem Durchlauf gewonnenen Erkenntnisse und Einsichten können dazu führen, dass neue Prioritäten gesetzt, die Relevanz bestimmter Einflüsse neu eingeschätzt oder andere Bewertungskriterien als geeigneter angesehen werden. In diesen Fällen kann der gesamte Vorgang ab Schritt 1 oder 2 wiederholt werden. </w:t>
      </w:r>
    </w:p>
    <w:p w:rsidR="0020747F" w:rsidRDefault="0020747F" w:rsidP="0020747F">
      <w:pPr>
        <w:pStyle w:val="Aufzhlung"/>
        <w:numPr>
          <w:ilvl w:val="0"/>
          <w:numId w:val="0"/>
        </w:numPr>
      </w:pPr>
      <w:r>
        <w:t>Berichterstattung</w:t>
      </w:r>
    </w:p>
    <w:p w:rsidR="0020747F" w:rsidRDefault="0020747F" w:rsidP="0020747F">
      <w:pPr>
        <w:pStyle w:val="Aufzhlung"/>
        <w:numPr>
          <w:ilvl w:val="0"/>
          <w:numId w:val="0"/>
        </w:numPr>
      </w:pPr>
      <w:r>
        <w:t>Die Dokumentation sollte so ausführlich gehalten werden, dass sie einem Dritten ermöglicht, die Untersuchungen nachzuvollziehen. Dazu gehören zumindest die Beschreibung</w:t>
      </w:r>
    </w:p>
    <w:p w:rsidR="0020747F" w:rsidRDefault="0020747F" w:rsidP="0020747F">
      <w:pPr>
        <w:pStyle w:val="Aufzhlung"/>
        <w:numPr>
          <w:ilvl w:val="0"/>
          <w:numId w:val="0"/>
        </w:numPr>
      </w:pPr>
      <w:r>
        <w:t>Des behandelten Problems</w:t>
      </w:r>
    </w:p>
    <w:p w:rsidR="0020747F" w:rsidRDefault="0020747F" w:rsidP="0020747F">
      <w:pPr>
        <w:pStyle w:val="Aufzhlung"/>
        <w:numPr>
          <w:ilvl w:val="0"/>
          <w:numId w:val="0"/>
        </w:numPr>
      </w:pPr>
      <w:r>
        <w:t>Der verwendeten Kenndaten</w:t>
      </w:r>
    </w:p>
    <w:p w:rsidR="0020747F" w:rsidRDefault="0020747F" w:rsidP="0020747F">
      <w:pPr>
        <w:pStyle w:val="Aufzhlung"/>
        <w:numPr>
          <w:ilvl w:val="0"/>
          <w:numId w:val="0"/>
        </w:numPr>
      </w:pPr>
      <w:r>
        <w:t>Des benutzten Simulationswerkzeugs und</w:t>
      </w:r>
    </w:p>
    <w:p w:rsidR="0020747F" w:rsidRDefault="0020747F" w:rsidP="0020747F">
      <w:pPr>
        <w:pStyle w:val="Aufzhlung"/>
        <w:numPr>
          <w:ilvl w:val="0"/>
          <w:numId w:val="0"/>
        </w:numPr>
      </w:pPr>
      <w:r>
        <w:t>Der vorgenommenen Kontrollen sowie eine</w:t>
      </w:r>
    </w:p>
    <w:p w:rsidR="0020747F" w:rsidRDefault="0020747F" w:rsidP="0020747F">
      <w:pPr>
        <w:pStyle w:val="Aufzhlung"/>
        <w:numPr>
          <w:ilvl w:val="0"/>
          <w:numId w:val="0"/>
        </w:numPr>
      </w:pPr>
      <w:r>
        <w:t xml:space="preserve">Zusammenfassung der Ergebnisse und ggf. </w:t>
      </w:r>
    </w:p>
    <w:p w:rsidR="0020747F" w:rsidRDefault="0020747F" w:rsidP="0020747F">
      <w:pPr>
        <w:pStyle w:val="Aufzhlung"/>
        <w:numPr>
          <w:ilvl w:val="0"/>
          <w:numId w:val="0"/>
        </w:numPr>
      </w:pPr>
      <w:r>
        <w:t>Eine Interpretation der gewünschte Bewertung.</w:t>
      </w:r>
    </w:p>
    <w:p w:rsidR="0097632D" w:rsidRDefault="0097632D" w:rsidP="0020747F">
      <w:pPr>
        <w:pStyle w:val="Aufzhlung"/>
        <w:numPr>
          <w:ilvl w:val="0"/>
          <w:numId w:val="0"/>
        </w:numPr>
      </w:pPr>
      <w:r>
        <w:t>Dokumentation nach WTA E-6-2-01/d</w:t>
      </w:r>
    </w:p>
    <w:p w:rsidR="0097632D" w:rsidRDefault="00C77821" w:rsidP="0020747F">
      <w:pPr>
        <w:pStyle w:val="Aufzhlung"/>
        <w:numPr>
          <w:ilvl w:val="0"/>
          <w:numId w:val="0"/>
        </w:numPr>
      </w:pPr>
      <w:r>
        <w:t>Ausgaben für die Auswertung</w:t>
      </w:r>
    </w:p>
    <w:p w:rsidR="00C77821" w:rsidRDefault="00C77821" w:rsidP="0020747F">
      <w:pPr>
        <w:pStyle w:val="Aufzhlung"/>
        <w:numPr>
          <w:ilvl w:val="0"/>
          <w:numId w:val="0"/>
        </w:numPr>
      </w:pPr>
      <w:r>
        <w:t>Die Analyse der lokalen und zeitlichen Verteilung von Temperatur, relativer Feuchte und Wassergehalt innerhalb der Konstruktion ermöglicht die Identifikation kritischer Positionen und Zeiträume.</w:t>
      </w:r>
    </w:p>
    <w:p w:rsidR="00C77821" w:rsidRDefault="00C77821" w:rsidP="0020747F">
      <w:pPr>
        <w:pStyle w:val="Aufzhlung"/>
        <w:numPr>
          <w:ilvl w:val="0"/>
          <w:numId w:val="0"/>
        </w:numPr>
      </w:pPr>
      <w:r>
        <w:t xml:space="preserve">Mögliche </w:t>
      </w:r>
      <w:r w:rsidRPr="002471CC">
        <w:rPr>
          <w:highlight w:val="red"/>
        </w:rPr>
        <w:t>kritische Positionen</w:t>
      </w:r>
    </w:p>
    <w:p w:rsidR="00C77821" w:rsidRPr="002471CC" w:rsidRDefault="00C77821" w:rsidP="00C77821">
      <w:pPr>
        <w:pStyle w:val="Aufzhlung"/>
        <w:rPr>
          <w:highlight w:val="red"/>
        </w:rPr>
      </w:pPr>
      <w:r w:rsidRPr="002471CC">
        <w:rPr>
          <w:highlight w:val="red"/>
        </w:rPr>
        <w:t>Die kalte Seite der Dämmung</w:t>
      </w:r>
    </w:p>
    <w:p w:rsidR="00C77821" w:rsidRPr="002471CC" w:rsidRDefault="00C77821" w:rsidP="00C77821">
      <w:pPr>
        <w:pStyle w:val="Aufzhlung"/>
        <w:rPr>
          <w:highlight w:val="red"/>
        </w:rPr>
      </w:pPr>
      <w:r w:rsidRPr="002471CC">
        <w:rPr>
          <w:highlight w:val="red"/>
        </w:rPr>
        <w:t>Der Klebemörtel</w:t>
      </w:r>
    </w:p>
    <w:p w:rsidR="00C77821" w:rsidRPr="002471CC" w:rsidRDefault="00C77821" w:rsidP="00C77821">
      <w:pPr>
        <w:pStyle w:val="Aufzhlung"/>
        <w:rPr>
          <w:highlight w:val="red"/>
        </w:rPr>
      </w:pPr>
      <w:r w:rsidRPr="002471CC">
        <w:rPr>
          <w:highlight w:val="red"/>
        </w:rPr>
        <w:t>Der Bestandsinnenputz</w:t>
      </w:r>
    </w:p>
    <w:p w:rsidR="00C77821" w:rsidRPr="00C77821" w:rsidRDefault="00C77821" w:rsidP="00C77821">
      <w:pPr>
        <w:pStyle w:val="Aufzhlung"/>
      </w:pPr>
      <w:r w:rsidRPr="002471CC">
        <w:rPr>
          <w:highlight w:val="red"/>
        </w:rPr>
        <w:t>Die innere Wandoberfläche</w:t>
      </w:r>
      <w:r w:rsidRPr="00C77821">
        <w:t xml:space="preserve"> (insbesondere bei mehrdimensionaler Simulation)</w:t>
      </w:r>
    </w:p>
    <w:p w:rsidR="00C77821" w:rsidRPr="00C77821" w:rsidRDefault="00C77821" w:rsidP="00C77821">
      <w:pPr>
        <w:pStyle w:val="Aufzhlung"/>
      </w:pPr>
      <w:r w:rsidRPr="002471CC">
        <w:rPr>
          <w:highlight w:val="red"/>
        </w:rPr>
        <w:t>Die Bestandskonstruktion</w:t>
      </w:r>
      <w:r w:rsidRPr="00C77821">
        <w:t xml:space="preserve"> (Schlagregeneinfluss).</w:t>
      </w:r>
    </w:p>
    <w:p w:rsidR="00C77821" w:rsidRDefault="00C77821" w:rsidP="0020747F">
      <w:pPr>
        <w:pStyle w:val="Aufzhlung"/>
        <w:numPr>
          <w:ilvl w:val="0"/>
          <w:numId w:val="0"/>
        </w:numPr>
      </w:pPr>
      <w:r>
        <w:t xml:space="preserve">Für die </w:t>
      </w:r>
      <w:r w:rsidRPr="002471CC">
        <w:rPr>
          <w:highlight w:val="red"/>
        </w:rPr>
        <w:t>Auswertung wird empfohlen jeweils eine Schichtdicke von 10 mm heranzuziehen.</w:t>
      </w:r>
      <w:r>
        <w:t xml:space="preserve"> Bei </w:t>
      </w:r>
      <w:r w:rsidRPr="002471CC">
        <w:rPr>
          <w:highlight w:val="red"/>
        </w:rPr>
        <w:t>dünnen Schichten (Putz, Mörtel) kann der Wassergehalt über die gesamte Materialschicht gemittelt werden</w:t>
      </w:r>
      <w:r>
        <w:t xml:space="preserve">. </w:t>
      </w:r>
    </w:p>
    <w:p w:rsidR="00C77821" w:rsidRDefault="00C77821" w:rsidP="0020747F">
      <w:pPr>
        <w:pStyle w:val="Aufzhlung"/>
        <w:numPr>
          <w:ilvl w:val="0"/>
          <w:numId w:val="0"/>
        </w:numPr>
      </w:pPr>
      <w:r>
        <w:t>Mögliche kritische Zeiträume:</w:t>
      </w:r>
    </w:p>
    <w:p w:rsidR="00C77821" w:rsidRPr="00C77821" w:rsidRDefault="00C77821" w:rsidP="00C77821">
      <w:pPr>
        <w:pStyle w:val="Aufzhlung"/>
      </w:pPr>
      <w:r w:rsidRPr="00C77821">
        <w:t>Austrocknungphase der Einbaufeuchte</w:t>
      </w:r>
    </w:p>
    <w:p w:rsidR="00C77821" w:rsidRPr="002471CC" w:rsidRDefault="00C77821" w:rsidP="00C77821">
      <w:pPr>
        <w:pStyle w:val="Aufzhlung"/>
        <w:rPr>
          <w:highlight w:val="red"/>
        </w:rPr>
      </w:pPr>
      <w:r w:rsidRPr="002471CC">
        <w:rPr>
          <w:highlight w:val="red"/>
        </w:rPr>
        <w:t>Wintermonate</w:t>
      </w:r>
    </w:p>
    <w:p w:rsidR="00C77821" w:rsidRDefault="00C77821" w:rsidP="00C77821">
      <w:pPr>
        <w:pStyle w:val="Aufzhlung"/>
        <w:numPr>
          <w:ilvl w:val="0"/>
          <w:numId w:val="0"/>
        </w:numPr>
      </w:pPr>
      <w:r>
        <w:t>Bewertung der Simulation</w:t>
      </w:r>
    </w:p>
    <w:p w:rsidR="00C77821" w:rsidRDefault="00C77821" w:rsidP="00C77821">
      <w:pPr>
        <w:pStyle w:val="Aufzhlung"/>
        <w:numPr>
          <w:ilvl w:val="0"/>
          <w:numId w:val="0"/>
        </w:numPr>
      </w:pPr>
      <w:r>
        <w:t xml:space="preserve">Die </w:t>
      </w:r>
      <w:r w:rsidRPr="002471CC">
        <w:rPr>
          <w:highlight w:val="red"/>
        </w:rPr>
        <w:t>Funktionsfähigkeit eines Innendämmsystems gilt als nachgewiesen, wenn einerseits ein eingeschwungener Zustand nach Abschnitt 3.1 erreicht wird und gleichzeitig keine unzulässigen Feuchtezustände innerhalb der Konstruktion nach Abschnitt 3.2 auftreten.</w:t>
      </w:r>
    </w:p>
    <w:p w:rsidR="00C77821" w:rsidRDefault="00C77821" w:rsidP="00C77821">
      <w:pPr>
        <w:pStyle w:val="Aufzhlung"/>
        <w:numPr>
          <w:ilvl w:val="0"/>
          <w:numId w:val="0"/>
        </w:numPr>
      </w:pPr>
      <w:r>
        <w:t>Eingeschwungener Zustand</w:t>
      </w:r>
    </w:p>
    <w:p w:rsidR="00C77821" w:rsidRDefault="00C77821" w:rsidP="00C77821">
      <w:pPr>
        <w:pStyle w:val="Aufzhlung"/>
        <w:numPr>
          <w:ilvl w:val="0"/>
          <w:numId w:val="0"/>
        </w:numPr>
      </w:pPr>
      <w:r w:rsidRPr="002471CC">
        <w:rPr>
          <w:highlight w:val="red"/>
        </w:rPr>
        <w:t>Es darf zu keiner kontinuierlichen Auffeuchtung der Konstruktion kommen.</w:t>
      </w:r>
      <w:r>
        <w:t xml:space="preserve"> </w:t>
      </w:r>
      <w:r w:rsidRPr="002471CC">
        <w:rPr>
          <w:highlight w:val="red"/>
        </w:rPr>
        <w:t>Nach einer Einschwingphase müssen sich Feuchteeintrag und Trocknung im Jahresgang die Waage halten.</w:t>
      </w:r>
    </w:p>
    <w:p w:rsidR="00C77821" w:rsidRDefault="00C77821" w:rsidP="00C77821">
      <w:pPr>
        <w:pStyle w:val="Aufzhlung"/>
        <w:numPr>
          <w:ilvl w:val="0"/>
          <w:numId w:val="0"/>
        </w:numPr>
      </w:pPr>
      <w:r>
        <w:t xml:space="preserve">Der </w:t>
      </w:r>
      <w:r w:rsidRPr="002471CC">
        <w:rPr>
          <w:highlight w:val="red"/>
        </w:rPr>
        <w:t>Nachweis erfolgt über den Gesamtwassergehalt</w:t>
      </w:r>
      <w:r>
        <w:t xml:space="preserve"> im Jahresverlauf bei kontinuierlicher Verwendung eines sich jährlich wiederholenden Klimadatensatzes. </w:t>
      </w:r>
      <w:r w:rsidRPr="002471CC">
        <w:rPr>
          <w:highlight w:val="red"/>
        </w:rPr>
        <w:t>Der eingeschwungene Zustand gilt als erreicht, wenn der Wassergehalt einen Grenzwert anstrebt</w:t>
      </w:r>
      <w:r>
        <w:t xml:space="preserve">. </w:t>
      </w:r>
      <w:r w:rsidRPr="002471CC">
        <w:rPr>
          <w:highlight w:val="red"/>
        </w:rPr>
        <w:t>Als Richtwert für die Beurteilung wird eine jährliche Wassergehaltsänderung von weniger als 1 % bezogen auf den Vorjahreswassergehalt empfohlen.</w:t>
      </w:r>
      <w:r>
        <w:t xml:space="preserve"> </w:t>
      </w:r>
    </w:p>
    <w:p w:rsidR="00C77821" w:rsidRDefault="00DD4A5C" w:rsidP="00C77821">
      <w:pPr>
        <w:pStyle w:val="Aufzhlung"/>
        <w:numPr>
          <w:ilvl w:val="0"/>
          <w:numId w:val="0"/>
        </w:numPr>
      </w:pPr>
      <w:r w:rsidRPr="008A75BB">
        <w:rPr>
          <w:highlight w:val="yellow"/>
        </w:rPr>
        <w:t>Bewertungskriterien</w:t>
      </w:r>
    </w:p>
    <w:p w:rsidR="00DD4A5C" w:rsidRDefault="00DD4A5C" w:rsidP="00C77821">
      <w:pPr>
        <w:pStyle w:val="Aufzhlung"/>
        <w:numPr>
          <w:ilvl w:val="0"/>
          <w:numId w:val="0"/>
        </w:numPr>
      </w:pPr>
      <w:r>
        <w:t>Die Existenz eines eingeschwungenen Zustands bedeutet, dass keine stetige Auffeuchtung stattfindet. In einem weiteren Schritt müssen die maximal auftretenden Wassergehalte der einzelnen Bauteilschichten beurteilt werden, damit langfristige Feuchteschäden ausgeschlossen werden können.</w:t>
      </w:r>
    </w:p>
    <w:p w:rsidR="00DD4A5C" w:rsidRDefault="00E330F4" w:rsidP="00C77821">
      <w:pPr>
        <w:pStyle w:val="Aufzhlung"/>
        <w:numPr>
          <w:ilvl w:val="0"/>
          <w:numId w:val="0"/>
        </w:numPr>
      </w:pPr>
      <w:r>
        <w:t>Für die Beurteilung der Wassergehalte der Innendämmstoffe und der zum jeweiligen System gehörenden Komponenten sind die vom Hersteller angegebenen Werte zu Grunde zu legen.</w:t>
      </w:r>
    </w:p>
    <w:p w:rsidR="00E330F4" w:rsidRDefault="00E330F4" w:rsidP="00C77821">
      <w:pPr>
        <w:pStyle w:val="Aufzhlung"/>
        <w:numPr>
          <w:ilvl w:val="0"/>
          <w:numId w:val="0"/>
        </w:numPr>
      </w:pPr>
      <w:r>
        <w:t>Sofern keine genauen Erkenntnisse über die hygrothermischen Eigenschaften bekannt sind gilt der feuchtetechnische Nachweis für die Bestandskonstruktion als erbracht, wenn folgende Anforderungen nachgewiesen werden können:</w:t>
      </w:r>
    </w:p>
    <w:p w:rsidR="00E330F4" w:rsidRDefault="00E330F4" w:rsidP="00C77821">
      <w:pPr>
        <w:pStyle w:val="Aufzhlung"/>
        <w:numPr>
          <w:ilvl w:val="0"/>
          <w:numId w:val="0"/>
        </w:numPr>
      </w:pPr>
      <w:r>
        <w:t xml:space="preserve">Für möglicherweise nicht frostbeständige Materialien sollte ein </w:t>
      </w:r>
      <w:r w:rsidRPr="008A75BB">
        <w:rPr>
          <w:highlight w:val="yellow"/>
        </w:rPr>
        <w:t>Sättigungsgrad von 30% nicht überschritten</w:t>
      </w:r>
      <w:r>
        <w:t xml:space="preserve"> werden. </w:t>
      </w:r>
      <w:r w:rsidRPr="008A75BB">
        <w:rPr>
          <w:highlight w:val="yellow"/>
        </w:rPr>
        <w:t>Der Sättigungsgrad ist das Verhältnis des vorhandenen Wassergehalts zur Porositä</w:t>
      </w:r>
      <w:r>
        <w:t xml:space="preserve">t. </w:t>
      </w:r>
      <w:r w:rsidRPr="008A75BB">
        <w:rPr>
          <w:highlight w:val="yellow"/>
        </w:rPr>
        <w:t>Diesem Grenzweiter liegt ein Sicherheitsfaktor 2 bezogen auf kritische Sättigungsgrade zu Grunde, siehe auch Lit 3,4 u 5. Höhere Sättigungsgrade sind zulässig, sofern die relative Luftfeuchte innerhalb der Materialschicht unter 95 % bleibt.</w:t>
      </w:r>
      <w:r>
        <w:t xml:space="preserve"> </w:t>
      </w:r>
      <w:r w:rsidR="00F86E7B">
        <w:t>Hinsichtlich der Festigkeit sollte bei gipshaltigen Untergründen eine Gleichgewichtsfeuchte von 95% relative Feuchte nicht überschritten werden.</w:t>
      </w:r>
    </w:p>
    <w:p w:rsidR="00F86E7B" w:rsidRDefault="00F86E7B" w:rsidP="00C77821">
      <w:pPr>
        <w:pStyle w:val="Aufzhlung"/>
        <w:numPr>
          <w:ilvl w:val="0"/>
          <w:numId w:val="0"/>
        </w:numPr>
      </w:pPr>
      <w:r w:rsidRPr="00835586">
        <w:rPr>
          <w:highlight w:val="yellow"/>
        </w:rPr>
        <w:t>Die relative Porenluftfeuchte in Holzbauteilen darf 95% bei 0°C und 86 % bei 30 °C im Tagesmittel nicht überschreiten Lit 6. Zwischenwerte können linear interpoliert werden. Langfristig sollten im Jahressverlauf 85 % rel. Luftfeuchte nicht überschritten werden.</w:t>
      </w:r>
    </w:p>
    <w:p w:rsidR="00F86E7B" w:rsidRDefault="00F86E7B" w:rsidP="00C77821">
      <w:pPr>
        <w:pStyle w:val="Aufzhlung"/>
        <w:numPr>
          <w:ilvl w:val="0"/>
          <w:numId w:val="0"/>
        </w:numPr>
      </w:pPr>
      <w:r>
        <w:t xml:space="preserve">Hinsichtlich der inneren Bauteiloberflächen muss Schimmelpilzfreiheit gewährleitest sein (siehe WTA-Merkblatt 6-3). </w:t>
      </w:r>
      <w:r w:rsidRPr="00835586">
        <w:rPr>
          <w:highlight w:val="yellow"/>
        </w:rPr>
        <w:t>Dies gilt insbesondere, wenn der Oberflächentemperaturfaktor fRsi kleiner als 0,7 ist. (</w:t>
      </w:r>
      <w:r w:rsidRPr="00835586">
        <w:rPr>
          <w:highlight w:val="yellow"/>
        </w:rPr>
        <w:sym w:font="Wingdings" w:char="F0E0"/>
      </w:r>
      <w:r w:rsidRPr="00835586">
        <w:rPr>
          <w:highlight w:val="yellow"/>
        </w:rPr>
        <w:t xml:space="preserve"> 0.69)</w:t>
      </w:r>
      <w:r>
        <w:t xml:space="preserve">. </w:t>
      </w:r>
    </w:p>
    <w:p w:rsidR="00E079AF" w:rsidRDefault="00F86E7B" w:rsidP="00C77821">
      <w:pPr>
        <w:pStyle w:val="Aufzhlung"/>
        <w:numPr>
          <w:ilvl w:val="0"/>
          <w:numId w:val="0"/>
        </w:numPr>
      </w:pPr>
      <w:r>
        <w:t>Anmerkung: Das Thema der rechnerischen Bewertung von Feuchtezuständen in Holzb</w:t>
      </w:r>
      <w:r w:rsidR="00724852">
        <w:t>auteilen ist Arbeitsgegenstand ein</w:t>
      </w:r>
      <w:r>
        <w:t>er WTA-Arbeitsgrup</w:t>
      </w:r>
      <w:r w:rsidR="00724852">
        <w:t xml:space="preserve">pe. Mit der Entwurfsveröffentlichung des dort erarbeiteten Merkblatts 6-8 ist demnächst zu rechnen. </w:t>
      </w:r>
    </w:p>
    <w:p w:rsidR="00E079AF" w:rsidRDefault="00E079AF" w:rsidP="00C77821">
      <w:pPr>
        <w:pStyle w:val="Aufzhlung"/>
        <w:numPr>
          <w:ilvl w:val="0"/>
          <w:numId w:val="0"/>
        </w:numPr>
      </w:pPr>
      <w:r>
        <w:t>Hinweise zur Beurteilung der Bestandskonstruktion</w:t>
      </w:r>
    </w:p>
    <w:p w:rsidR="00E079AF" w:rsidRDefault="00E079AF" w:rsidP="00C77821">
      <w:pPr>
        <w:pStyle w:val="Aufzhlung"/>
        <w:numPr>
          <w:ilvl w:val="0"/>
          <w:numId w:val="0"/>
        </w:numPr>
      </w:pPr>
      <w:r>
        <w:t xml:space="preserve">Die </w:t>
      </w:r>
      <w:r w:rsidRPr="00835586">
        <w:rPr>
          <w:highlight w:val="yellow"/>
        </w:rPr>
        <w:t>richtige Beurteilung der Bestandskonstruktion ist eine wesentliche Voraussetzung für die weitere Analyse der Bewertung der möglichen Innendämmvarianten</w:t>
      </w:r>
      <w:r>
        <w:t>. Die wichtigsten Eigenschaften sind hier die thermischen und hygrischen Materialparameter sowie die Schlagregenbeanspruchung der jeweiligen Fassade. Die Auswirkungen anderweitiger Feuchteeinträge in die Konstruktion beispielsweise durch aufsteigende Feuchte oder infolge salzbelasteten Mauerwerks, müssen gesondert betrachtet werden.</w:t>
      </w:r>
    </w:p>
    <w:p w:rsidR="00E079AF" w:rsidRDefault="00E079AF" w:rsidP="00C77821">
      <w:pPr>
        <w:pStyle w:val="Aufzhlung"/>
        <w:numPr>
          <w:ilvl w:val="0"/>
          <w:numId w:val="0"/>
        </w:numPr>
      </w:pPr>
      <w:r>
        <w:t>Beurteilung der thermischen und hygrischen Materialeigenschaften</w:t>
      </w:r>
    </w:p>
    <w:p w:rsidR="00F86E7B" w:rsidRDefault="00E079AF" w:rsidP="00C77821">
      <w:pPr>
        <w:pStyle w:val="Aufzhlung"/>
        <w:numPr>
          <w:ilvl w:val="0"/>
          <w:numId w:val="0"/>
        </w:numPr>
      </w:pPr>
      <w:r>
        <w:t xml:space="preserve">In der Regel ist eine Objektbesichtigung erforderlich, bei der Aufbau und Zustand der zu dämmenden Konstruktion aufgenommen werden. Auf dieser Grundlage und der Entstehungszeit des Gebäudes lässt sich für die meisten Baustoffe die typische Bandbreite der thermischen und hygrischen Parameter abschätzen. </w:t>
      </w:r>
      <w:r w:rsidR="00F86E7B">
        <w:t xml:space="preserve"> </w:t>
      </w:r>
    </w:p>
    <w:p w:rsidR="00E330F4" w:rsidRPr="00C77821" w:rsidRDefault="00E330F4" w:rsidP="00C77821">
      <w:pPr>
        <w:pStyle w:val="Aufzhlung"/>
        <w:numPr>
          <w:ilvl w:val="0"/>
          <w:numId w:val="0"/>
        </w:numPr>
      </w:pPr>
    </w:p>
    <w:p w:rsidR="00C77821" w:rsidRDefault="00C77821" w:rsidP="0020747F">
      <w:pPr>
        <w:pStyle w:val="Aufzhlung"/>
        <w:numPr>
          <w:ilvl w:val="0"/>
          <w:numId w:val="0"/>
        </w:numPr>
      </w:pPr>
      <w:r>
        <w:t xml:space="preserve"> </w:t>
      </w:r>
    </w:p>
    <w:p w:rsidR="0020747F" w:rsidRDefault="0020747F" w:rsidP="0020747F">
      <w:pPr>
        <w:pStyle w:val="Aufzhlung"/>
        <w:numPr>
          <w:ilvl w:val="0"/>
          <w:numId w:val="0"/>
        </w:numPr>
      </w:pPr>
    </w:p>
    <w:p w:rsidR="0020747F" w:rsidRDefault="0020747F" w:rsidP="00C64325">
      <w:pPr>
        <w:jc w:val="both"/>
      </w:pPr>
    </w:p>
    <w:p w:rsidR="00B43525" w:rsidRPr="00515EF1" w:rsidRDefault="00B43525" w:rsidP="00E77BB8">
      <w:pPr>
        <w:jc w:val="both"/>
      </w:pPr>
    </w:p>
    <w:p w:rsidR="00F24764" w:rsidRDefault="00B71593" w:rsidP="00B71593">
      <w:r w:rsidRPr="00B71593">
        <w:rPr>
          <w:rStyle w:val="berschrift5Zchn"/>
        </w:rPr>
        <w:t>Wärme- und feuchtetechnisches Verhalten von Bauteilen und Bauelementen – Raumseitige</w:t>
      </w:r>
      <w:r w:rsidR="005A3FB6">
        <w:rPr>
          <w:rStyle w:val="berschrift5Zchn"/>
        </w:rPr>
        <w:t xml:space="preserve"> </w:t>
      </w:r>
      <w:r w:rsidRPr="00B71593">
        <w:rPr>
          <w:rStyle w:val="berschrift5Zchn"/>
        </w:rPr>
        <w:t>Oberflächentemperatur zur Vermeidung kritischer Oberflächenfeuchte und Tauwasserbildung im Bauteilinneren – Berechnungsverfahren</w:t>
      </w:r>
      <w:r>
        <w:t xml:space="preserve"> </w:t>
      </w:r>
      <w:r>
        <w:fldChar w:fldCharType="begin"/>
      </w:r>
      <w:r>
        <w:instrText xml:space="preserve"> ADDIN EN.CITE &lt;EndNote&gt;&lt;Cite&gt;&lt;Author&gt;ISO&lt;/Author&gt;&lt;Year&gt;2011&lt;/Year&gt;&lt;RecNum&gt;147&lt;/RecNum&gt;&lt;DisplayText&gt;(ISO, 2011)&lt;/DisplayText&gt;&lt;record&gt;&lt;rec-number&gt;147&lt;/rec-number&gt;&lt;foreign-keys&gt;&lt;key app="EN" db-id="zxrx2rspbdeppzeza5fv0e03vdwxr5svazdr" timestamp="1331398954"&gt;147&lt;/key&gt;&lt;/foreign-keys&gt;&lt;ref-type name="Report"&gt;27&lt;/ref-type&gt;&lt;contributors&gt;&lt;authors&gt;&lt;author&gt;DIN EN ISO&lt;/author&gt;&lt;/authors&gt;&lt;/contributors&gt;&lt;titles&gt;&lt;title&gt;DIN EN ISO 13788 Wärme- und feuchtetechnisches Verhalten von Bauteilen und Bauelementen - Raumseitige Oberflächentemperatur zur Vermeidung kritischer Oberflächenfeuchte und Tauwasserbildung im Bauteilinneren - Berechnungsverfahren&lt;/title&gt;&lt;/titles&gt;&lt;dates&gt;&lt;year&gt;2011&lt;/year&gt;&lt;/dates&gt;&lt;publisher&gt;DIN&lt;/publisher&gt;&lt;urls&gt;&lt;/urls&gt;&lt;/record&gt;&lt;/Cite&gt;&lt;/EndNote&gt;</w:instrText>
      </w:r>
      <w:r>
        <w:fldChar w:fldCharType="separate"/>
      </w:r>
      <w:r>
        <w:rPr>
          <w:noProof/>
        </w:rPr>
        <w:t>(</w:t>
      </w:r>
      <w:hyperlink w:anchor="_ENREF_8" w:tooltip="ISO, 2011 #147" w:history="1">
        <w:r w:rsidR="00C64325">
          <w:rPr>
            <w:noProof/>
          </w:rPr>
          <w:t>ISO, 2011</w:t>
        </w:r>
      </w:hyperlink>
      <w:r>
        <w:rPr>
          <w:noProof/>
        </w:rPr>
        <w:t>)</w:t>
      </w:r>
      <w:r>
        <w:fldChar w:fldCharType="end"/>
      </w:r>
      <w:r>
        <w:t>(ISO 13788:2001)</w:t>
      </w:r>
    </w:p>
    <w:p w:rsidR="00644389" w:rsidRDefault="00644389" w:rsidP="00644389">
      <w:r>
        <w:t>Berechnung der Oberflächentemperatur zur Vermeidung der kritischen</w:t>
      </w:r>
    </w:p>
    <w:p w:rsidR="00644389" w:rsidRDefault="00644389" w:rsidP="00644389">
      <w:r>
        <w:t>Oberflächenfeuchte</w:t>
      </w:r>
    </w:p>
    <w:p w:rsidR="00644389" w:rsidRDefault="00644389" w:rsidP="00644389">
      <w:r>
        <w:t>5.1 Allgemeines</w:t>
      </w:r>
    </w:p>
    <w:p w:rsidR="00644389" w:rsidRDefault="00644389" w:rsidP="00644389">
      <w:r>
        <w:t>In diesem Abschnitt wird ein Verfahren zur Bemessung der Gebäudehülle festgelegt, das dazu dient,</w:t>
      </w:r>
    </w:p>
    <w:p w:rsidR="00644389" w:rsidRDefault="00644389" w:rsidP="00644389">
      <w:r>
        <w:t>negativen Auswirkungen der kritischen Oberflächenfeuchte, z. B. Schimmelbefall, vorzubeugen.</w:t>
      </w:r>
    </w:p>
    <w:p w:rsidR="00644389" w:rsidRDefault="00644389" w:rsidP="00644389">
      <w:r>
        <w:t>ANMERKUNG Eine Tauwasserbildung auf Oberflächen kann zu Schäden an ungeschützten feuchteempfindlichen</w:t>
      </w:r>
    </w:p>
    <w:p w:rsidR="00C64325" w:rsidRDefault="00644389" w:rsidP="00644389">
      <w:r>
        <w:t>Baustoffen führen. Sie kann vorübergehend und in kleinen Mengen annehmbar sein, z. B. bei Fenstern und Fliesen in</w:t>
      </w:r>
      <w:r w:rsidR="00835586">
        <w:t xml:space="preserve"> </w:t>
      </w:r>
      <w:r>
        <w:t>Badezimmern, sofern die Oberfläche die Feuchte nicht absorbiert und entsprechende Vorkehrungen zur Vermeidung</w:t>
      </w:r>
      <w:r w:rsidR="00835586">
        <w:t xml:space="preserve"> </w:t>
      </w:r>
      <w:r>
        <w:t>eines Kontaktes der Feuchte mit angrenzenden empfindlichen Materialien getroffen werden.</w:t>
      </w:r>
    </w:p>
    <w:p w:rsidR="00644389" w:rsidRDefault="00BC6C38" w:rsidP="00644389">
      <w:r>
        <w:t>Wenn die monatlichen Mittelwerte der relativen Luftfeuchte an den Oberflächen eine kritische relative Feuchte überschreiten, besteht das Risiko eines Schimmelpilzbefalls, das al</w:t>
      </w:r>
      <w:r w:rsidR="00835586">
        <w:t>s</w:t>
      </w:r>
      <w:r>
        <w:t xml:space="preserve"> 0,8 angenommen werden soll, es sei denn, es liegen nähere Informationen aus nationalen Bestimmungen oder anderwertig vor.</w:t>
      </w:r>
    </w:p>
    <w:p w:rsidR="00BC6C38" w:rsidRPr="00923CDE" w:rsidRDefault="00BC6C38" w:rsidP="00BC6C38">
      <w:pPr>
        <w:rPr>
          <w:b/>
        </w:rPr>
      </w:pPr>
      <w:r w:rsidRPr="00923CDE">
        <w:rPr>
          <w:b/>
        </w:rPr>
        <w:t>Kriterien für die Beurteilung von Bauteilen</w:t>
      </w:r>
    </w:p>
    <w:p w:rsidR="00BC6C38" w:rsidRDefault="00BC6C38" w:rsidP="00BC6C38">
      <w:r>
        <w:t>Die Ergebnisse der Berechnungen sind, je nach Zutreffen, nach a), b) oder c) anzugeben.</w:t>
      </w:r>
    </w:p>
    <w:p w:rsidR="00BC6C38" w:rsidRDefault="00BC6C38" w:rsidP="00BC6C38">
      <w:r>
        <w:t>a) Eine Tauwasserbildung wird für keine Grenzfläche und für keinen Monat vorhergesagt.</w:t>
      </w:r>
    </w:p>
    <w:p w:rsidR="00BC6C38" w:rsidRDefault="00BC6C38" w:rsidP="00BC6C38">
      <w:r>
        <w:t xml:space="preserve">In diesem Fall ist anzugeben, dass das Bauwerk frei von Tauwasserbildung im </w:t>
      </w:r>
      <w:r w:rsidR="00923CDE">
        <w:t>B</w:t>
      </w:r>
      <w:r>
        <w:t>auteilinneren ist.</w:t>
      </w:r>
    </w:p>
    <w:p w:rsidR="00BC6C38" w:rsidRDefault="00BC6C38" w:rsidP="00BC6C38">
      <w:r>
        <w:t>b) Tauwasserbildung tritt während einiger Monate an einer oder mehreren Grenzfläche(n) auf; jedoch tritt an</w:t>
      </w:r>
      <w:r w:rsidR="00923CDE">
        <w:t xml:space="preserve"> </w:t>
      </w:r>
      <w:r>
        <w:t>keiner der betroffenen Grenzflächen eine Netto-Akkumulation über das Jahr auf, da die vollständige</w:t>
      </w:r>
      <w:r w:rsidR="00923CDE">
        <w:t xml:space="preserve"> </w:t>
      </w:r>
      <w:r>
        <w:t>Verdunstung des Tauwassers vorhergesagt wird.</w:t>
      </w:r>
    </w:p>
    <w:p w:rsidR="00BC6C38" w:rsidRDefault="00BC6C38" w:rsidP="00BC6C38">
      <w:r>
        <w:t>In diesem Fall sind die maximale Tauwassermenge, die an jeder Grenzfläche aufgetreten ist, sowie der</w:t>
      </w:r>
      <w:r w:rsidR="00923CDE">
        <w:t xml:space="preserve"> M</w:t>
      </w:r>
      <w:r>
        <w:t>onat, in dem dieser Höchstwert vorkam, anzugeben. Weiterhin sind rechtliche Anforderungen und</w:t>
      </w:r>
      <w:r w:rsidR="00923CDE">
        <w:t xml:space="preserve"> </w:t>
      </w:r>
      <w:r>
        <w:t>weitere Anleitungen in Produktnormen hinsichtlich des Risikos des Ablaufens von Wasser bzw. der</w:t>
      </w:r>
      <w:r w:rsidR="00923CDE">
        <w:t xml:space="preserve"> </w:t>
      </w:r>
      <w:r>
        <w:t>Zustandsverschlechterung von Baustoffen sowie der Verminderung des Wärmeschutzes als Folge der</w:t>
      </w:r>
      <w:r w:rsidR="00923CDE">
        <w:t xml:space="preserve"> </w:t>
      </w:r>
      <w:r>
        <w:t>berechneten höchsten Feuchtemenge zu berücksichtigen.</w:t>
      </w:r>
    </w:p>
    <w:p w:rsidR="00BC6C38" w:rsidRDefault="00BC6C38" w:rsidP="00BC6C38">
      <w:r>
        <w:t>ANMERKUNG Sofern die maximale Akkumulation des Tauwassers 200 g/m2 überschreitet, ist das Risiko für ein</w:t>
      </w:r>
      <w:r w:rsidR="00923CDE">
        <w:t xml:space="preserve"> </w:t>
      </w:r>
      <w:r>
        <w:t>Ablaufen von nicht absorbierenden Materialien sehr hoch.</w:t>
      </w:r>
    </w:p>
    <w:p w:rsidR="00BC6C38" w:rsidRDefault="00BC6C38" w:rsidP="00BC6C38">
      <w:r>
        <w:t>c) Das Tauwasser, das sich an einer oder mehreren Grenzfläche(n) bildet, verdunstet unvollständig.</w:t>
      </w:r>
    </w:p>
    <w:p w:rsidR="00BC6C38" w:rsidRDefault="00BC6C38" w:rsidP="00BC6C38">
      <w:r>
        <w:t>In diesem Fall ist anzugeben, dass das Bauwerk die Beurteilung nicht bestanden hat; die Höchstmenge</w:t>
      </w:r>
      <w:r w:rsidR="00923CDE">
        <w:t xml:space="preserve"> </w:t>
      </w:r>
      <w:r>
        <w:t>der Feuchte, die sich an jeder Grenzfläche gebildet hat, sowie die Feuchtemenge, die nach zwölf</w:t>
      </w:r>
      <w:r w:rsidR="00923CDE">
        <w:t xml:space="preserve"> </w:t>
      </w:r>
      <w:r>
        <w:t>Monaten an jeder Grenzfläche verbleibt, sind anzugeben.</w:t>
      </w:r>
    </w:p>
    <w:p w:rsidR="00BC6C38" w:rsidRDefault="00BC6C38" w:rsidP="00BC6C38">
      <w:r>
        <w:t>7.4 Kriterien zur Beurteilung des Trocknungspotentials von Bauteilen</w:t>
      </w:r>
    </w:p>
    <w:p w:rsidR="00BC6C38" w:rsidRDefault="00BC6C38" w:rsidP="00BC6C38">
      <w:r>
        <w:t>Die Ergebnisse der Berechnungen sind je nach Zutreffen nach a), b) oder c) anzugeben.</w:t>
      </w:r>
    </w:p>
    <w:p w:rsidR="00BC6C38" w:rsidRDefault="00BC6C38" w:rsidP="00BC6C38">
      <w:r>
        <w:t>a) Trocknen innerhalb von zehn Jahren ohne Tauwasserbildung in anderen Schichten.</w:t>
      </w:r>
    </w:p>
    <w:p w:rsidR="00BC6C38" w:rsidRDefault="00BC6C38" w:rsidP="00BC6C38">
      <w:r>
        <w:t>In diesem Fall</w:t>
      </w:r>
      <w:r w:rsidR="00923CDE">
        <w:t xml:space="preserve"> </w:t>
      </w:r>
      <w:r>
        <w:t>ist die Trocknungsdauer in Monaten anzugeben und das Risiko der Zustandsverschlechterung der die überschüssige Feuchte enthaltenden Schicht abzuschätzen.</w:t>
      </w:r>
    </w:p>
    <w:p w:rsidR="00BC6C38" w:rsidRDefault="00BC6C38" w:rsidP="00BC6C38">
      <w:r>
        <w:t>b) Trocknen innerhalb von zehn Jahren mit zeitweiliger Tauwasserbildung in anderen Schichten.</w:t>
      </w:r>
    </w:p>
    <w:p w:rsidR="00BC6C38" w:rsidRDefault="00BC6C38" w:rsidP="00BC6C38">
      <w:r>
        <w:t>In diesem Fall ist die Trocknungsdauer in Monaten anzugeben, weiterhin sind die an jeder Grenzfläche</w:t>
      </w:r>
      <w:r w:rsidR="00923CDE">
        <w:t xml:space="preserve"> </w:t>
      </w:r>
      <w:r>
        <w:t>aufgetretene Höchstmenge an Tauwasser und der Monat anzugeben, in dem diese Höchstmenge</w:t>
      </w:r>
      <w:r w:rsidR="00923CDE">
        <w:t xml:space="preserve"> </w:t>
      </w:r>
      <w:r>
        <w:t>aufgetreten</w:t>
      </w:r>
      <w:r w:rsidR="00923CDE">
        <w:t xml:space="preserve"> </w:t>
      </w:r>
      <w:r>
        <w:t>ist.</w:t>
      </w:r>
    </w:p>
    <w:p w:rsidR="00BC6C38" w:rsidRDefault="00BC6C38" w:rsidP="00BC6C38">
      <w:r>
        <w:t>Darüber</w:t>
      </w:r>
      <w:r w:rsidR="00923CDE">
        <w:t xml:space="preserve"> h</w:t>
      </w:r>
      <w:r>
        <w:t>inaus</w:t>
      </w:r>
      <w:r w:rsidR="00923CDE">
        <w:t xml:space="preserve"> </w:t>
      </w:r>
      <w:r>
        <w:t>sind</w:t>
      </w:r>
      <w:r w:rsidR="00923CDE">
        <w:t xml:space="preserve"> </w:t>
      </w:r>
      <w:r>
        <w:t>das Risiko</w:t>
      </w:r>
      <w:r w:rsidR="00923CDE">
        <w:t xml:space="preserve"> </w:t>
      </w:r>
      <w:r>
        <w:t>des</w:t>
      </w:r>
      <w:r w:rsidR="00923CDE">
        <w:t xml:space="preserve"> </w:t>
      </w:r>
      <w:r>
        <w:t>Ablaufens von Wasser</w:t>
      </w:r>
      <w:r w:rsidR="00923CDE">
        <w:t xml:space="preserve"> </w:t>
      </w:r>
      <w:r>
        <w:t>bzw. der</w:t>
      </w:r>
      <w:r w:rsidR="00923CDE">
        <w:t xml:space="preserve"> </w:t>
      </w:r>
      <w:r>
        <w:t>Zustandsverschlechterung von Baustoffen sowie der Verminderung des Wärmeschutzes als Folge der</w:t>
      </w:r>
      <w:r w:rsidR="00923CDE">
        <w:t xml:space="preserve"> </w:t>
      </w:r>
      <w:r>
        <w:t>berechneten höchsten Feuchtemenge entsprechend den rechtlichen Anforderungen und weiteren</w:t>
      </w:r>
      <w:r w:rsidR="00923CDE">
        <w:t xml:space="preserve"> </w:t>
      </w:r>
      <w:r>
        <w:t>Anleitungen in den Produktnormen zu berücksichtigen.</w:t>
      </w:r>
    </w:p>
    <w:p w:rsidR="00BC6C38" w:rsidRDefault="00BC6C38" w:rsidP="00BC6C38">
      <w:r>
        <w:t>c) Die Trocknungsdauer überschreitet zehn Jahre.</w:t>
      </w:r>
    </w:p>
    <w:p w:rsidR="00B71593" w:rsidRDefault="00DB1699" w:rsidP="00DB1699">
      <w:pPr>
        <w:pStyle w:val="berschrift5"/>
      </w:pPr>
      <w:r>
        <w:t xml:space="preserve">Wärmebrücken im Hochbau – Wärmeströme und Oberflächentemperaturen – Teil 1: Allgemeine Berechnungsverfahren </w:t>
      </w:r>
      <w:r>
        <w:fldChar w:fldCharType="begin"/>
      </w:r>
      <w:r>
        <w:instrText xml:space="preserve"> ADDIN EN.CITE &lt;EndNote&gt;&lt;Cite&gt;&lt;Author&gt;ÖNorm&lt;/Author&gt;&lt;Year&gt;2008&lt;/Year&gt;&lt;RecNum&gt;96&lt;/RecNum&gt;&lt;DisplayText&gt;(ÖNorm, 2008)&lt;/DisplayText&gt;&lt;record&gt;&lt;rec-number&gt;96&lt;/rec-number&gt;&lt;foreign-keys&gt;&lt;key app="EN" db-id="zxrx2rspbdeppzeza5fv0e03vdwxr5svazdr" timestamp="1331398840"&gt;96&lt;/key&gt;&lt;/foreign-keys&gt;&lt;ref-type name="Standard"&gt;58&lt;/ref-type&gt;&lt;contributors&gt;&lt;authors&gt;&lt;author&gt;ÖNorm&lt;/author&gt;&lt;/authors&gt;&lt;/contributors&gt;&lt;titles&gt;&lt;title&gt;ÖNorm EN ISO 10211 Wärmebrücken im Hochbau - Wärmeströme und Oberflächentemperaturen - Detaillierte Berechnungen&lt;/title&gt;&lt;/titles&gt;&lt;dates&gt;&lt;year&gt;2008&lt;/year&gt;&lt;/dates&gt;&lt;pub-location&gt;Wien&lt;/pub-location&gt;&lt;publisher&gt;Österreichisches Normungsinstitut (ON) &lt;/publisher&gt;&lt;urls&gt;&lt;/urls&gt;&lt;/record&gt;&lt;/Cite&gt;&lt;/EndNote&gt;</w:instrText>
      </w:r>
      <w:r>
        <w:fldChar w:fldCharType="separate"/>
      </w:r>
      <w:r>
        <w:rPr>
          <w:noProof/>
        </w:rPr>
        <w:t>(</w:t>
      </w:r>
      <w:hyperlink w:anchor="_ENREF_14" w:tooltip="ÖNorm, 2008 #96" w:history="1">
        <w:r w:rsidR="00C64325">
          <w:rPr>
            <w:noProof/>
          </w:rPr>
          <w:t>ÖNorm, 2008</w:t>
        </w:r>
      </w:hyperlink>
      <w:r>
        <w:rPr>
          <w:noProof/>
        </w:rPr>
        <w:t>)</w:t>
      </w:r>
      <w:r>
        <w:fldChar w:fldCharType="end"/>
      </w:r>
      <w:r>
        <w:t xml:space="preserve"> (ISO 10211-1:1995)</w:t>
      </w:r>
    </w:p>
    <w:p w:rsidR="00F24764" w:rsidRDefault="00F24764" w:rsidP="00F24764"/>
    <w:p w:rsidR="00F24764" w:rsidRDefault="00A75C66" w:rsidP="00F24764">
      <w:r>
        <w:t>WTA Merkblatt E-6-8 Gelbdruck 2015</w:t>
      </w:r>
    </w:p>
    <w:p w:rsidR="00A75C66" w:rsidRDefault="00A75C66" w:rsidP="00F24764">
      <w:r>
        <w:t>Feuchtetechnische Bewertung von Holzbauteilen – Vereinfachte Nachweise und Simulation</w:t>
      </w:r>
    </w:p>
    <w:p w:rsidR="00A75C66" w:rsidRDefault="00A75C66" w:rsidP="00F24764"/>
    <w:p w:rsidR="00F24764" w:rsidRPr="00F24764" w:rsidRDefault="00F24764" w:rsidP="00F24764"/>
    <w:p w:rsidR="00BB38BB" w:rsidRPr="00BB38BB" w:rsidRDefault="00BB38BB" w:rsidP="00227358">
      <w:pPr>
        <w:pStyle w:val="Listenabsatz"/>
        <w:numPr>
          <w:ilvl w:val="0"/>
          <w:numId w:val="9"/>
        </w:numPr>
      </w:pPr>
      <w:r>
        <w:t xml:space="preserve">Bewertungskriterien lt. Feuchteatlas  </w:t>
      </w:r>
    </w:p>
    <w:p w:rsidR="00C9375A" w:rsidRDefault="00C9375A" w:rsidP="00C9375A">
      <w:pPr>
        <w:pStyle w:val="berschrift3"/>
      </w:pPr>
      <w:bookmarkStart w:id="6" w:name="_Toc443568851"/>
      <w:r>
        <w:t>Einfluss der Innendämmung auf das Raumklima</w:t>
      </w:r>
      <w:bookmarkEnd w:id="6"/>
    </w:p>
    <w:p w:rsidR="00C9375A" w:rsidRDefault="00C9375A" w:rsidP="00C9375A">
      <w:pPr>
        <w:pStyle w:val="berschrift4"/>
      </w:pPr>
      <w:r>
        <w:t>Bewertungskriterien sommerliches Temperaturverhalten</w:t>
      </w:r>
    </w:p>
    <w:p w:rsidR="00C33AE1" w:rsidRDefault="00C70303" w:rsidP="00C70303">
      <w:pPr>
        <w:pStyle w:val="berschrift5"/>
      </w:pPr>
      <w:r w:rsidRPr="00C70303">
        <w:t>Bewertungskriterien</w:t>
      </w:r>
      <w:r w:rsidR="00C33AE1" w:rsidRPr="00C70303">
        <w:t xml:space="preserve"> lt. ÖNORM B 8110-3</w:t>
      </w:r>
      <w:r w:rsidR="00112412" w:rsidRPr="00C70303">
        <w:t xml:space="preserve"> </w:t>
      </w:r>
      <w:r w:rsidR="00112412" w:rsidRPr="00C70303">
        <w:fldChar w:fldCharType="begin"/>
      </w:r>
      <w:r w:rsidR="00112412" w:rsidRPr="00C70303">
        <w:instrText xml:space="preserve"> ADDIN EN.CITE &lt;EndNote&gt;&lt;Cite&gt;&lt;Author&gt;ÖNorm&lt;/Author&gt;&lt;Year&gt;2012&lt;/Year&gt;&lt;RecNum&gt;10257&lt;/RecNum&gt;&lt;DisplayText&gt;(ÖNorm, 2012)&lt;/DisplayText&gt;&lt;record&gt;&lt;rec-number&gt;10257&lt;/rec-number&gt;&lt;foreign-keys&gt;&lt;key app="EN" db-id="zxrx2rspbdeppzeza5fv0e03vdwxr5svazdr" timestamp="1399967516"&gt;10257&lt;/key&gt;&lt;key app="ENWeb" db-id=""&gt;0&lt;/key&gt;&lt;/foreign-keys&gt;&lt;ref-type name="Journal Article"&gt;17&lt;/ref-type&gt;&lt;contributors&gt;&lt;authors&gt;&lt;author&gt;ÖNorm&lt;/author&gt;&lt;/authors&gt;&lt;/contributors&gt;&lt;titles&gt;&lt;title&gt;ÖNorm B 8110-3 Wärmeschutz im Hochbau Teil 3: Vermeidung sommerlicher Überwärmung&lt;/title&gt;&lt;/titles&gt;&lt;dates&gt;&lt;year&gt;2012&lt;/year&gt;&lt;/dates&gt;&lt;urls&gt;&lt;/urls&gt;&lt;/record&gt;&lt;/Cite&gt;&lt;/EndNote&gt;</w:instrText>
      </w:r>
      <w:r w:rsidR="00112412" w:rsidRPr="00C70303">
        <w:fldChar w:fldCharType="separate"/>
      </w:r>
      <w:r w:rsidR="00112412" w:rsidRPr="00C70303">
        <w:t>(</w:t>
      </w:r>
      <w:hyperlink w:anchor="_ENREF_15" w:tooltip="ÖNorm, 2012 #10257" w:history="1">
        <w:r w:rsidR="00C64325" w:rsidRPr="00C70303">
          <w:t>ÖNorm, 2012</w:t>
        </w:r>
      </w:hyperlink>
      <w:r w:rsidR="00112412" w:rsidRPr="00C70303">
        <w:t>)</w:t>
      </w:r>
      <w:r w:rsidR="00112412" w:rsidRPr="00C70303">
        <w:fldChar w:fldCharType="end"/>
      </w:r>
      <w:r w:rsidR="00C33AE1" w:rsidRPr="00C70303">
        <w:t xml:space="preserve"> </w:t>
      </w:r>
    </w:p>
    <w:p w:rsidR="00C70303" w:rsidRPr="00C70303" w:rsidRDefault="00C70303" w:rsidP="00F22D31">
      <w:pPr>
        <w:pStyle w:val="berschrift6"/>
      </w:pPr>
      <w:r>
        <w:t xml:space="preserve">Berechnung des Tagesverlaufes der operativen Temperatur </w:t>
      </w:r>
    </w:p>
    <w:p w:rsidR="00C33AE1" w:rsidRDefault="00C33AE1" w:rsidP="00C70303">
      <w:pPr>
        <w:jc w:val="both"/>
      </w:pPr>
      <w:r>
        <w:t>Für Wohngebäude muss der Nachweis entweder durch Berechnung des Tagesverlaufes der operativen Temperatur gemäß Abschnitt 7 oder unter folgenden Bedingungen durch das vereinfachte Verfahren gemäß Abschnitt 8 erfolgen:</w:t>
      </w:r>
    </w:p>
    <w:p w:rsidR="00C33AE1" w:rsidRDefault="00C33AE1" w:rsidP="00C33AE1">
      <w:pPr>
        <w:pStyle w:val="Listenabsatz"/>
        <w:numPr>
          <w:ilvl w:val="0"/>
          <w:numId w:val="13"/>
        </w:numPr>
      </w:pPr>
      <w:r>
        <w:t>Der Tagesmittelwert der Außentemperatur gemäß 72. darf höchstens 23,0 °C betragen.</w:t>
      </w:r>
    </w:p>
    <w:p w:rsidR="00C33AE1" w:rsidRDefault="00C33AE1" w:rsidP="00C33AE1">
      <w:pPr>
        <w:pStyle w:val="Listenabsatz"/>
        <w:numPr>
          <w:ilvl w:val="0"/>
          <w:numId w:val="13"/>
        </w:numPr>
      </w:pPr>
      <w:r>
        <w:t>Sämtliche Fenster des als kritisch eigestuften Einzelraumes können nachts offen gehalten werden.</w:t>
      </w:r>
    </w:p>
    <w:p w:rsidR="00C33AE1" w:rsidRDefault="00C33AE1" w:rsidP="00C70303">
      <w:pPr>
        <w:jc w:val="both"/>
      </w:pPr>
      <w:r>
        <w:t>Für Nicht-Wohngebäude muss der Nachweis durch die Berechnung des Tagesverlaufes der operativen Temperatur gemäß Abschnitt 7 erfolgen.</w:t>
      </w:r>
    </w:p>
    <w:p w:rsidR="00C33AE1" w:rsidRDefault="00C33AE1" w:rsidP="00C70303">
      <w:pPr>
        <w:jc w:val="both"/>
      </w:pPr>
      <w:r>
        <w:t xml:space="preserve">Als Bewertungsgröße wird die operative Temperatur verwendet. Die operative Temperatur wird als arithmetischer Mittelwert der Raumlufttemperatur und der mittleren Oberflächentemperatur berechnet. Da der direkte solare Eintrag auf Personen dabei vernachlässigt wird, ist durch den Sonnen- bzw. Blendschutz sicherzustellen, dass es zu keinem wesentlichen solaren Eintrag auf Arbeitsplätze kommt. </w:t>
      </w:r>
    </w:p>
    <w:p w:rsidR="00C33AE1" w:rsidRDefault="00C33AE1" w:rsidP="00C70303">
      <w:pPr>
        <w:jc w:val="both"/>
      </w:pPr>
      <w:r>
        <w:t>Die sommerliche Überwärmung gilt als vermieden, wenn die operative Temperatur unter den Klimaannahmen gemäß 7.2, unter Berücksichtigung der inneren Lasten gemäß 7.3 und den Lüftungsmöglichkeiten gemäß 7.4 die folgenden Grenzen unterschreitet:</w:t>
      </w:r>
    </w:p>
    <w:p w:rsidR="00C33AE1" w:rsidRDefault="00C33AE1" w:rsidP="00C70303">
      <w:pPr>
        <w:jc w:val="both"/>
      </w:pPr>
      <w:r>
        <w:t>Maximale operative Temperatur 27,0 °C</w:t>
      </w:r>
    </w:p>
    <w:p w:rsidR="00C33AE1" w:rsidRDefault="00C33AE1" w:rsidP="00C70303">
      <w:pPr>
        <w:jc w:val="both"/>
      </w:pPr>
      <w:r>
        <w:t xml:space="preserve">Zusätzlich muss in Schlaf-/Ruheräumen das Minimum des Tagesganges der operativen Temperatur im Nachtzeitraum (MESZ: 22:00 Uhr </w:t>
      </w:r>
      <w:r w:rsidR="005513BB">
        <w:t>bis 06:00</w:t>
      </w:r>
      <w:r w:rsidR="00277090">
        <w:t xml:space="preserve"> Uhr) höchstens 25,0 °C betragen.</w:t>
      </w:r>
    </w:p>
    <w:p w:rsidR="00277090" w:rsidRDefault="00277090" w:rsidP="00C70303">
      <w:pPr>
        <w:jc w:val="both"/>
      </w:pPr>
      <w:r>
        <w:t>Um einen erhöhten sommerlichen Komfort abbilden zu können, ist in Anhang D ein Verfahren zusammengestellt, mit dem eine Klassifizierung des sommerlichen Verhaltens durchgeführt werden kann.</w:t>
      </w:r>
    </w:p>
    <w:p w:rsidR="00277090" w:rsidRDefault="00277090" w:rsidP="00F22D31">
      <w:pPr>
        <w:pStyle w:val="berschrift6"/>
      </w:pPr>
      <w:r>
        <w:t xml:space="preserve">Vereinfachter Nachweis über die Vermeidung </w:t>
      </w:r>
      <w:r w:rsidR="00866615">
        <w:t>der sommerl</w:t>
      </w:r>
      <w:r w:rsidR="00112412">
        <w:t>i</w:t>
      </w:r>
      <w:r w:rsidR="00866615">
        <w:t>c</w:t>
      </w:r>
      <w:r w:rsidR="00112412">
        <w:t>hen Überwärmung von Haupträumen</w:t>
      </w:r>
    </w:p>
    <w:p w:rsidR="00112412" w:rsidRDefault="00112412" w:rsidP="00C33AE1">
      <w:r>
        <w:t>Dieser Nachweis ist nur für Wohngebäude zulässig, wenn die Bedingungen gemäß Abschnitt 6 erfüllt sind.</w:t>
      </w:r>
    </w:p>
    <w:p w:rsidR="00112412" w:rsidRDefault="00112412" w:rsidP="00C70303">
      <w:pPr>
        <w:jc w:val="both"/>
      </w:pPr>
      <w:r>
        <w:t>Die Einhaltung der Anforderungen gemäß 6.2 gilt auch dann als gesichert, wenn der Sonnenschutz, die der Bauweise entsprechende speicherwirksame Masse, sowie die Lüftung den Mindestanforderungen der Tabelle 7 entsprechen.</w:t>
      </w:r>
    </w:p>
    <w:p w:rsidR="00C70303" w:rsidRPr="00112412" w:rsidRDefault="00C70303" w:rsidP="00C70303">
      <w:pPr>
        <w:pStyle w:val="Beschriftung"/>
      </w:pPr>
      <w:r>
        <w:t xml:space="preserve">Tabelle </w:t>
      </w:r>
      <w:r w:rsidR="0057391F">
        <w:fldChar w:fldCharType="begin"/>
      </w:r>
      <w:r w:rsidR="0057391F">
        <w:instrText xml:space="preserve"> SEQ Tabelle \* ARABIC </w:instrText>
      </w:r>
      <w:r w:rsidR="0057391F">
        <w:fldChar w:fldCharType="separate"/>
      </w:r>
      <w:r w:rsidR="00C10B8B">
        <w:rPr>
          <w:noProof/>
        </w:rPr>
        <w:t>1</w:t>
      </w:r>
      <w:r w:rsidR="0057391F">
        <w:rPr>
          <w:noProof/>
        </w:rPr>
        <w:fldChar w:fldCharType="end"/>
      </w:r>
      <w:r>
        <w:t>:</w:t>
      </w:r>
      <w:r w:rsidRPr="00C70303">
        <w:t xml:space="preserve"> </w:t>
      </w:r>
      <w:r>
        <w:t>Mindesterforderliche immissionsflächenbezogene speicherwirksame Masse m</w:t>
      </w:r>
      <w:r w:rsidRPr="00112412">
        <w:rPr>
          <w:vertAlign w:val="subscript"/>
        </w:rPr>
        <w:t>w,l,min</w:t>
      </w:r>
      <w:r>
        <w:t xml:space="preserve"> in Abhängigkeit vom immissionsflächenbezogenen stündlichen Luftvolumenstrom V</w:t>
      </w:r>
      <w:r w:rsidRPr="00112412">
        <w:rPr>
          <w:vertAlign w:val="subscript"/>
        </w:rPr>
        <w:t>L,s</w:t>
      </w:r>
      <w:r>
        <w:t>.</w:t>
      </w:r>
    </w:p>
    <w:p w:rsidR="00112412" w:rsidRDefault="00112412" w:rsidP="00C70303">
      <w:pPr>
        <w:jc w:val="center"/>
      </w:pPr>
      <w:r>
        <w:rPr>
          <w:noProof/>
          <w:lang w:val="de-AT" w:eastAsia="de-AT"/>
        </w:rPr>
        <w:drawing>
          <wp:inline distT="0" distB="0" distL="0" distR="0" wp14:anchorId="7379216D" wp14:editId="090452E1">
            <wp:extent cx="4848225" cy="151281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846088" cy="1512148"/>
                    </a:xfrm>
                    <a:prstGeom prst="rect">
                      <a:avLst/>
                    </a:prstGeom>
                  </pic:spPr>
                </pic:pic>
              </a:graphicData>
            </a:graphic>
          </wp:inline>
        </w:drawing>
      </w:r>
    </w:p>
    <w:p w:rsidR="00277090" w:rsidRDefault="00277090" w:rsidP="00C70303">
      <w:pPr>
        <w:jc w:val="both"/>
      </w:pPr>
      <w:r>
        <w:t xml:space="preserve"> </w:t>
      </w:r>
      <w:r w:rsidR="00112412">
        <w:t>Die speicherwirksame Masse des Raums mW ist gemäß 8.4 zu errechnen und auf die Immissionsfläche A</w:t>
      </w:r>
      <w:r w:rsidR="00112412" w:rsidRPr="00112412">
        <w:rPr>
          <w:vertAlign w:val="subscript"/>
        </w:rPr>
        <w:t>I</w:t>
      </w:r>
      <w:r w:rsidR="00112412">
        <w:t xml:space="preserve"> zu beziehen. Die für den betrachteten Raum errechnete immissionsflächenbezogene speicherwirksame Masse m</w:t>
      </w:r>
      <w:r w:rsidR="00112412" w:rsidRPr="00112412">
        <w:rPr>
          <w:vertAlign w:val="subscript"/>
        </w:rPr>
        <w:t>w,l</w:t>
      </w:r>
      <w:r w:rsidR="00112412">
        <w:t xml:space="preserve"> muss größer sein als der nach Tabelle 7 ermittelte Mindestwert m</w:t>
      </w:r>
      <w:r w:rsidR="00112412" w:rsidRPr="00112412">
        <w:rPr>
          <w:vertAlign w:val="subscript"/>
        </w:rPr>
        <w:t>w,l,min</w:t>
      </w:r>
      <w:r w:rsidR="00112412">
        <w:t xml:space="preserve">. Der Nachweis gilt somit als erbracht, wenn der Überschuss an speicherwirksamer Masse </w:t>
      </w:r>
      <w:r w:rsidR="00112412" w:rsidRPr="00112412">
        <w:rPr>
          <w:i/>
        </w:rPr>
        <w:t>delta</w:t>
      </w:r>
      <w:r w:rsidR="00112412">
        <w:t>m</w:t>
      </w:r>
      <w:r w:rsidR="00112412" w:rsidRPr="00112412">
        <w:rPr>
          <w:vertAlign w:val="subscript"/>
        </w:rPr>
        <w:t>w,l</w:t>
      </w:r>
      <w:r w:rsidR="00112412" w:rsidRPr="00112412">
        <w:t>.</w:t>
      </w:r>
      <w:r w:rsidR="00112412">
        <w:t xml:space="preserve"> größer als null ist, also </w:t>
      </w:r>
    </w:p>
    <w:p w:rsidR="00C70303" w:rsidRDefault="00C70303" w:rsidP="00C70303">
      <w:pPr>
        <w:jc w:val="both"/>
      </w:pPr>
      <w:r>
        <w:rPr>
          <w:noProof/>
          <w:lang w:val="de-AT" w:eastAsia="de-AT"/>
        </w:rPr>
        <w:drawing>
          <wp:inline distT="0" distB="0" distL="0" distR="0" wp14:anchorId="7EACEB04" wp14:editId="4AC0FDE6">
            <wp:extent cx="2247900" cy="356564"/>
            <wp:effectExtent l="0" t="0" r="0" b="571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256961" cy="358001"/>
                    </a:xfrm>
                    <a:prstGeom prst="rect">
                      <a:avLst/>
                    </a:prstGeom>
                  </pic:spPr>
                </pic:pic>
              </a:graphicData>
            </a:graphic>
          </wp:inline>
        </w:drawing>
      </w:r>
    </w:p>
    <w:p w:rsidR="00C70303" w:rsidRDefault="00C70303" w:rsidP="00C70303">
      <w:pPr>
        <w:jc w:val="both"/>
      </w:pPr>
      <w:r>
        <w:t xml:space="preserve">gilt. </w:t>
      </w:r>
    </w:p>
    <w:p w:rsidR="00C70303" w:rsidRDefault="00C70303" w:rsidP="00C33AE1">
      <w:r>
        <w:t>Es bedeutet: m</w:t>
      </w:r>
      <w:r w:rsidRPr="00112412">
        <w:rPr>
          <w:vertAlign w:val="subscript"/>
        </w:rPr>
        <w:t>w,l</w:t>
      </w:r>
      <w:r>
        <w:rPr>
          <w:vertAlign w:val="subscript"/>
        </w:rPr>
        <w:t xml:space="preserve"> </w:t>
      </w:r>
      <w:r>
        <w:t>immissionsflächenbezogene speicherwirksame Masse, in kg/m²</w:t>
      </w:r>
    </w:p>
    <w:p w:rsidR="00C70303" w:rsidRDefault="00C70303" w:rsidP="00F22D31">
      <w:pPr>
        <w:pStyle w:val="berschrift6"/>
      </w:pPr>
      <w:r>
        <w:t>Klassifizierung des sommerlichen Verhaltens</w:t>
      </w:r>
    </w:p>
    <w:p w:rsidR="00F22D31" w:rsidRDefault="00F22D31" w:rsidP="00F22D31">
      <w:pPr>
        <w:jc w:val="both"/>
      </w:pPr>
      <w:r>
        <w:t xml:space="preserve">Die Klassifizierung des sommerlichen Verhaltens von bestehenden Gebäuden und Neubauten mit einem anderem (minderen oder erhöhten) als den mindesterforderlichen sommerlichen Komfort erfolgt durch die Berechnung der operativen Temperatur gemäß Abschnitt 7 mit einer Variation des Tagesmittelwerts der anzunehmenden Außentemperatur. Die in der ÖNORM gestellten Anforderungen werden bei Erreichen der Güteklasse B erfüllt. </w:t>
      </w:r>
    </w:p>
    <w:p w:rsidR="00F22D31" w:rsidRDefault="00F22D31" w:rsidP="00F22D31">
      <w:pPr>
        <w:pStyle w:val="berschrift7"/>
      </w:pPr>
      <w:r>
        <w:t xml:space="preserve">Güteklasse D </w:t>
      </w:r>
    </w:p>
    <w:p w:rsidR="00F22D31" w:rsidRDefault="00F22D31" w:rsidP="00F22D31">
      <w:pPr>
        <w:jc w:val="both"/>
      </w:pPr>
      <w:r>
        <w:t>Die Anforderungen werden nicht erfüllt, wenn der Außentemperaturverlauf gegenüber Abschnitt 7 um 3 K erniedrigt wird.</w:t>
      </w:r>
    </w:p>
    <w:p w:rsidR="00F22D31" w:rsidRDefault="00F22D31" w:rsidP="00F22D31">
      <w:pPr>
        <w:pStyle w:val="berschrift7"/>
      </w:pPr>
      <w:r>
        <w:t>Güteklasse C</w:t>
      </w:r>
    </w:p>
    <w:p w:rsidR="00F22D31" w:rsidRDefault="00F22D31" w:rsidP="00F22D31">
      <w:pPr>
        <w:jc w:val="both"/>
      </w:pPr>
      <w:r>
        <w:t>Die Anforderungen werden nur erfüllt, wenn der Außentemperaturverlauf gegenüber Abschnitt 7 um 1,5 K erniedrigt wird.</w:t>
      </w:r>
    </w:p>
    <w:p w:rsidR="00F22D31" w:rsidRDefault="00F22D31" w:rsidP="00F22D31">
      <w:pPr>
        <w:pStyle w:val="berschrift7"/>
      </w:pPr>
      <w:r>
        <w:t>Güteklasse B (sommertauglich)</w:t>
      </w:r>
    </w:p>
    <w:p w:rsidR="00F22D31" w:rsidRDefault="00F22D31" w:rsidP="00F22D31">
      <w:pPr>
        <w:jc w:val="both"/>
      </w:pPr>
      <w:r>
        <w:t>Die Anforderungen werden erfüllt, wenn der Außentemperaturverlauf gemäß Abschnitt 7 verwendet wird oder wenn der vereinfachte Nachweis gemäß Abschnitt 8 anwendbar und erfüllt ist.</w:t>
      </w:r>
    </w:p>
    <w:p w:rsidR="00F22D31" w:rsidRDefault="00F22D31" w:rsidP="00F22D31">
      <w:pPr>
        <w:pStyle w:val="berschrift7"/>
      </w:pPr>
      <w:r>
        <w:t>Güteklasse A (gut sommertauglich)</w:t>
      </w:r>
    </w:p>
    <w:p w:rsidR="00F22D31" w:rsidRDefault="00F22D31" w:rsidP="00F22D31">
      <w:pPr>
        <w:jc w:val="both"/>
      </w:pPr>
      <w:r>
        <w:t>Die Anforderungen werden auch erfüllt, wenn der Außentemperaturverlauf gegenüber Abschnitt 7 um 1,5 K erhöht wird.</w:t>
      </w:r>
    </w:p>
    <w:p w:rsidR="00F22D31" w:rsidRDefault="00F22D31" w:rsidP="00F22D31">
      <w:pPr>
        <w:pStyle w:val="berschrift7"/>
      </w:pPr>
      <w:r>
        <w:t>Güteklasse A+ (sehr gut sommertauglich)</w:t>
      </w:r>
    </w:p>
    <w:p w:rsidR="00C33AE1" w:rsidRPr="00C33AE1" w:rsidRDefault="00F22D31" w:rsidP="00F22D31">
      <w:pPr>
        <w:jc w:val="both"/>
      </w:pPr>
      <w:r>
        <w:t xml:space="preserve">Die Anforderungen werden auch erfüllt, wenn der Außentemperaturverlauf gegenüber Abschnitt 7 um 3 K erhöht wird. </w:t>
      </w:r>
    </w:p>
    <w:p w:rsidR="00C9375A" w:rsidRDefault="00C9375A" w:rsidP="00C9375A">
      <w:pPr>
        <w:pStyle w:val="berschrift4"/>
      </w:pPr>
      <w:r>
        <w:t>Bewertungskriterien Thermischer Komfort</w:t>
      </w:r>
    </w:p>
    <w:p w:rsidR="007848D9" w:rsidRPr="007848D9" w:rsidRDefault="007848D9" w:rsidP="007848D9">
      <w:pPr>
        <w:pStyle w:val="berschrift5"/>
      </w:pPr>
      <w:r>
        <w:t>Bewertungskriterien nach ÖNORM</w:t>
      </w:r>
      <w:r>
        <w:rPr>
          <w:rFonts w:eastAsia="Arial"/>
        </w:rPr>
        <w:t xml:space="preserve"> </w:t>
      </w:r>
      <w:r>
        <w:t>EN</w:t>
      </w:r>
      <w:r>
        <w:rPr>
          <w:rFonts w:eastAsia="Arial"/>
        </w:rPr>
        <w:t xml:space="preserve"> </w:t>
      </w:r>
      <w:r>
        <w:t>ISO</w:t>
      </w:r>
      <w:r>
        <w:rPr>
          <w:rFonts w:eastAsia="Arial"/>
        </w:rPr>
        <w:t xml:space="preserve"> </w:t>
      </w:r>
      <w:r>
        <w:t xml:space="preserve">7730 </w:t>
      </w:r>
      <w:r>
        <w:rPr>
          <w:rFonts w:eastAsia="Arial"/>
        </w:rPr>
        <w:fldChar w:fldCharType="begin"/>
      </w:r>
      <w:r>
        <w:rPr>
          <w:rFonts w:eastAsia="Arial"/>
        </w:rPr>
        <w:instrText xml:space="preserve"> ADDIN EN.CITE &lt;EndNote&gt;&lt;Cite&gt;&lt;Author&gt;ÖNorm&lt;/Author&gt;&lt;Year&gt;2006&lt;/Year&gt;&lt;RecNum&gt;4951&lt;/RecNum&gt;&lt;DisplayText&gt;(ÖNorm, 2006)&lt;/DisplayText&gt;&lt;record&gt;&lt;rec-number&gt;4951&lt;/rec-number&gt;&lt;foreign-keys&gt;&lt;key app="EN" db-id="zxrx2rspbdeppzeza5fv0e03vdwxr5svazdr" timestamp="1363287804"&gt;4951&lt;/key&gt;&lt;/foreign-keys&gt;&lt;ref-type name="Journal Article"&gt;17&lt;/ref-type&gt;&lt;contributors&gt;&lt;authors&gt;&lt;author&gt;ÖNorm&lt;/author&gt;&lt;/authors&gt;&lt;/contributors&gt;&lt;titles&gt;&lt;title&gt;ÖNorm EN ISO 7730 Ergonomie der thermischen Umgebung - Analytische Bestimmung und Interpretation der thermischen Behaglichkeit durch Berechnung des PMV- und des PPD-Indexes und Kriterien der lokalen thermischen Behaglichkeit&amp;#xD;&lt;/title&gt;&lt;/titles&gt;&lt;dates&gt;&lt;year&gt;2006&lt;/year&gt;&lt;/dates&gt;&lt;urls&gt;&lt;/urls&gt;&lt;/record&gt;&lt;/Cite&gt;&lt;/EndNote&gt;</w:instrText>
      </w:r>
      <w:r>
        <w:rPr>
          <w:rFonts w:eastAsia="Arial"/>
        </w:rPr>
        <w:fldChar w:fldCharType="separate"/>
      </w:r>
      <w:r>
        <w:rPr>
          <w:rFonts w:eastAsia="Arial"/>
          <w:noProof/>
        </w:rPr>
        <w:t>(</w:t>
      </w:r>
      <w:hyperlink w:anchor="_ENREF_12" w:tooltip="ÖNorm, 2006 #4951" w:history="1">
        <w:r w:rsidR="00C64325">
          <w:rPr>
            <w:rFonts w:eastAsia="Arial"/>
            <w:noProof/>
          </w:rPr>
          <w:t>ÖNorm, 2006</w:t>
        </w:r>
      </w:hyperlink>
      <w:r>
        <w:rPr>
          <w:rFonts w:eastAsia="Arial"/>
          <w:noProof/>
        </w:rPr>
        <w:t>)</w:t>
      </w:r>
      <w:r>
        <w:rPr>
          <w:rFonts w:eastAsia="Arial"/>
        </w:rPr>
        <w:fldChar w:fldCharType="end"/>
      </w:r>
    </w:p>
    <w:p w:rsidR="00CC09A4" w:rsidRDefault="00CC09A4" w:rsidP="00CC09A4">
      <w:pPr>
        <w:jc w:val="both"/>
        <w:rPr>
          <w:rFonts w:eastAsia="Arial"/>
        </w:rPr>
      </w:pPr>
      <w:r>
        <w:t>Die</w:t>
      </w:r>
      <w:r>
        <w:rPr>
          <w:rFonts w:eastAsia="Arial"/>
        </w:rPr>
        <w:t xml:space="preserve"> </w:t>
      </w:r>
      <w:r>
        <w:t>ÖNORM</w:t>
      </w:r>
      <w:r>
        <w:rPr>
          <w:rFonts w:eastAsia="Arial"/>
        </w:rPr>
        <w:t xml:space="preserve"> </w:t>
      </w:r>
      <w:r>
        <w:t>EN</w:t>
      </w:r>
      <w:r>
        <w:rPr>
          <w:rFonts w:eastAsia="Arial"/>
        </w:rPr>
        <w:t xml:space="preserve"> </w:t>
      </w:r>
      <w:r>
        <w:t>ISO</w:t>
      </w:r>
      <w:r>
        <w:rPr>
          <w:rFonts w:eastAsia="Arial"/>
        </w:rPr>
        <w:t xml:space="preserve"> </w:t>
      </w:r>
      <w:r>
        <w:t>7730:2006</w:t>
      </w:r>
      <w:r>
        <w:rPr>
          <w:rFonts w:eastAsia="Arial"/>
        </w:rPr>
        <w:t xml:space="preserve"> </w:t>
      </w:r>
      <w:r>
        <w:rPr>
          <w:rFonts w:eastAsia="Arial"/>
        </w:rPr>
        <w:fldChar w:fldCharType="begin"/>
      </w:r>
      <w:r>
        <w:rPr>
          <w:rFonts w:eastAsia="Arial"/>
        </w:rPr>
        <w:instrText xml:space="preserve"> ADDIN EN.CITE &lt;EndNote&gt;&lt;Cite&gt;&lt;Author&gt;ÖNorm&lt;/Author&gt;&lt;Year&gt;2006&lt;/Year&gt;&lt;RecNum&gt;4951&lt;/RecNum&gt;&lt;DisplayText&gt;(ÖNorm, 2006)&lt;/DisplayText&gt;&lt;record&gt;&lt;rec-number&gt;4951&lt;/rec-number&gt;&lt;foreign-keys&gt;&lt;key app="EN" db-id="zxrx2rspbdeppzeza5fv0e03vdwxr5svazdr" timestamp="1363287804"&gt;4951&lt;/key&gt;&lt;/foreign-keys&gt;&lt;ref-type name="Journal Article"&gt;17&lt;/ref-type&gt;&lt;contributors&gt;&lt;authors&gt;&lt;author&gt;ÖNorm&lt;/author&gt;&lt;/authors&gt;&lt;/contributors&gt;&lt;titles&gt;&lt;title&gt;ÖNorm EN ISO 7730 Ergonomie der thermischen Umgebung - Analytische Bestimmung und Interpretation der thermischen Behaglichkeit durch Berechnung des PMV- und des PPD-Indexes und Kriterien der lokalen thermischen Behaglichkeit&amp;#xD;&lt;/title&gt;&lt;/titles&gt;&lt;dates&gt;&lt;year&gt;2006&lt;/year&gt;&lt;/dates&gt;&lt;urls&gt;&lt;/urls&gt;&lt;/record&gt;&lt;/Cite&gt;&lt;/EndNote&gt;</w:instrText>
      </w:r>
      <w:r>
        <w:rPr>
          <w:rFonts w:eastAsia="Arial"/>
        </w:rPr>
        <w:fldChar w:fldCharType="separate"/>
      </w:r>
      <w:r>
        <w:rPr>
          <w:rFonts w:eastAsia="Arial"/>
          <w:noProof/>
        </w:rPr>
        <w:t>(</w:t>
      </w:r>
      <w:hyperlink w:anchor="_ENREF_12" w:tooltip="ÖNorm, 2006 #4951" w:history="1">
        <w:r w:rsidR="00C64325">
          <w:rPr>
            <w:rFonts w:eastAsia="Arial"/>
            <w:noProof/>
          </w:rPr>
          <w:t>ÖNorm, 2006</w:t>
        </w:r>
      </w:hyperlink>
      <w:r>
        <w:rPr>
          <w:rFonts w:eastAsia="Arial"/>
          <w:noProof/>
        </w:rPr>
        <w:t>)</w:t>
      </w:r>
      <w:r>
        <w:rPr>
          <w:rFonts w:eastAsia="Arial"/>
        </w:rPr>
        <w:fldChar w:fldCharType="end"/>
      </w:r>
      <w:r>
        <w:rPr>
          <w:rFonts w:eastAsia="Arial"/>
        </w:rPr>
        <w:t xml:space="preserve"> </w:t>
      </w:r>
      <w:r>
        <w:t>bestimmt</w:t>
      </w:r>
      <w:r>
        <w:rPr>
          <w:rFonts w:eastAsia="Arial"/>
        </w:rPr>
        <w:t xml:space="preserve"> </w:t>
      </w:r>
      <w:r>
        <w:t>Bewertungsverfahren</w:t>
      </w:r>
      <w:r>
        <w:rPr>
          <w:rFonts w:eastAsia="Arial"/>
        </w:rPr>
        <w:t xml:space="preserve"> </w:t>
      </w:r>
      <w:r>
        <w:t>zum</w:t>
      </w:r>
      <w:r>
        <w:rPr>
          <w:rFonts w:eastAsia="Arial"/>
        </w:rPr>
        <w:t xml:space="preserve"> </w:t>
      </w:r>
      <w:r>
        <w:t>thermischen</w:t>
      </w:r>
      <w:r>
        <w:rPr>
          <w:rFonts w:eastAsia="Arial"/>
        </w:rPr>
        <w:t xml:space="preserve"> </w:t>
      </w:r>
      <w:r>
        <w:t>Komfort,</w:t>
      </w:r>
      <w:r>
        <w:rPr>
          <w:rFonts w:eastAsia="Arial"/>
        </w:rPr>
        <w:t xml:space="preserve"> </w:t>
      </w:r>
      <w:r>
        <w:t>die</w:t>
      </w:r>
      <w:r>
        <w:rPr>
          <w:rFonts w:eastAsia="Arial"/>
        </w:rPr>
        <w:t xml:space="preserve"> </w:t>
      </w:r>
      <w:r>
        <w:t>die</w:t>
      </w:r>
      <w:r>
        <w:rPr>
          <w:rFonts w:eastAsia="Arial"/>
        </w:rPr>
        <w:t xml:space="preserve"> </w:t>
      </w:r>
      <w:r>
        <w:t>Wärmebilanz</w:t>
      </w:r>
      <w:r>
        <w:rPr>
          <w:rFonts w:eastAsia="Arial"/>
        </w:rPr>
        <w:t xml:space="preserve"> </w:t>
      </w:r>
      <w:r>
        <w:t>des</w:t>
      </w:r>
      <w:r>
        <w:rPr>
          <w:rFonts w:eastAsia="Arial"/>
        </w:rPr>
        <w:t xml:space="preserve"> </w:t>
      </w:r>
      <w:r>
        <w:t>Körpers</w:t>
      </w:r>
      <w:r>
        <w:rPr>
          <w:rFonts w:eastAsia="Arial"/>
        </w:rPr>
        <w:t xml:space="preserve"> </w:t>
      </w:r>
      <w:r>
        <w:t>als</w:t>
      </w:r>
      <w:r>
        <w:rPr>
          <w:rFonts w:eastAsia="Arial"/>
        </w:rPr>
        <w:t xml:space="preserve"> </w:t>
      </w:r>
      <w:r>
        <w:t>Ganzes</w:t>
      </w:r>
      <w:r>
        <w:rPr>
          <w:rFonts w:eastAsia="Arial"/>
        </w:rPr>
        <w:t xml:space="preserve"> </w:t>
      </w:r>
      <w:r>
        <w:t>gegenüber</w:t>
      </w:r>
      <w:r>
        <w:rPr>
          <w:rFonts w:eastAsia="Arial"/>
        </w:rPr>
        <w:t xml:space="preserve"> </w:t>
      </w:r>
      <w:r>
        <w:t>der</w:t>
      </w:r>
      <w:r>
        <w:rPr>
          <w:rFonts w:eastAsia="Arial"/>
        </w:rPr>
        <w:t xml:space="preserve"> </w:t>
      </w:r>
      <w:r>
        <w:t>Umgebung</w:t>
      </w:r>
      <w:r>
        <w:rPr>
          <w:rFonts w:eastAsia="Arial"/>
        </w:rPr>
        <w:t xml:space="preserve"> </w:t>
      </w:r>
      <w:r>
        <w:t>abbilden:</w:t>
      </w:r>
      <w:r>
        <w:rPr>
          <w:rFonts w:eastAsia="Arial"/>
        </w:rPr>
        <w:t xml:space="preserve"> </w:t>
      </w:r>
      <w:r>
        <w:t>das</w:t>
      </w:r>
      <w:r>
        <w:rPr>
          <w:rFonts w:eastAsia="Arial"/>
        </w:rPr>
        <w:t xml:space="preserve"> </w:t>
      </w:r>
      <w:r>
        <w:t>vorausgesagte</w:t>
      </w:r>
      <w:r>
        <w:rPr>
          <w:rFonts w:eastAsia="Arial"/>
        </w:rPr>
        <w:t xml:space="preserve"> </w:t>
      </w:r>
      <w:r>
        <w:t>mittlere</w:t>
      </w:r>
      <w:r>
        <w:rPr>
          <w:rFonts w:eastAsia="Arial"/>
        </w:rPr>
        <w:t xml:space="preserve"> </w:t>
      </w:r>
      <w:r>
        <w:t>Votum,</w:t>
      </w:r>
      <w:r>
        <w:rPr>
          <w:rFonts w:eastAsia="Arial"/>
        </w:rPr>
        <w:t xml:space="preserve"> </w:t>
      </w:r>
      <w:r>
        <w:t>PMV</w:t>
      </w:r>
      <w:r>
        <w:rPr>
          <w:rFonts w:eastAsia="Arial"/>
        </w:rPr>
        <w:t xml:space="preserve"> </w:t>
      </w:r>
      <w:r>
        <w:t>(Predicted</w:t>
      </w:r>
      <w:r>
        <w:rPr>
          <w:rFonts w:eastAsia="Arial"/>
        </w:rPr>
        <w:t xml:space="preserve"> </w:t>
      </w:r>
      <w:r>
        <w:t>Mean</w:t>
      </w:r>
      <w:r>
        <w:rPr>
          <w:rFonts w:eastAsia="Arial"/>
        </w:rPr>
        <w:t xml:space="preserve"> </w:t>
      </w:r>
      <w:r>
        <w:t>Vote)</w:t>
      </w:r>
      <w:r>
        <w:rPr>
          <w:rFonts w:eastAsia="Arial"/>
        </w:rPr>
        <w:t xml:space="preserve"> </w:t>
      </w:r>
      <w:r>
        <w:t>und</w:t>
      </w:r>
      <w:r>
        <w:rPr>
          <w:rFonts w:eastAsia="Arial"/>
        </w:rPr>
        <w:t xml:space="preserve"> den </w:t>
      </w:r>
      <w:r>
        <w:t>davon</w:t>
      </w:r>
      <w:r>
        <w:rPr>
          <w:rFonts w:eastAsia="Arial"/>
        </w:rPr>
        <w:t xml:space="preserve"> </w:t>
      </w:r>
      <w:r>
        <w:t>abgeleiteten</w:t>
      </w:r>
      <w:r>
        <w:rPr>
          <w:rFonts w:eastAsia="Arial"/>
        </w:rPr>
        <w:t xml:space="preserve"> </w:t>
      </w:r>
      <w:r>
        <w:t>vorausgesagten</w:t>
      </w:r>
      <w:r>
        <w:rPr>
          <w:rFonts w:eastAsia="Arial"/>
        </w:rPr>
        <w:t xml:space="preserve"> </w:t>
      </w:r>
      <w:r>
        <w:t>Prozentsatz</w:t>
      </w:r>
      <w:r>
        <w:rPr>
          <w:rFonts w:eastAsia="Arial"/>
        </w:rPr>
        <w:t xml:space="preserve"> </w:t>
      </w:r>
      <w:r>
        <w:t>an</w:t>
      </w:r>
      <w:r>
        <w:rPr>
          <w:rFonts w:eastAsia="Arial"/>
        </w:rPr>
        <w:t xml:space="preserve"> </w:t>
      </w:r>
      <w:r>
        <w:t>Unzufriedenen</w:t>
      </w:r>
      <w:r>
        <w:rPr>
          <w:rFonts w:eastAsia="Arial"/>
        </w:rPr>
        <w:t xml:space="preserve"> </w:t>
      </w:r>
      <w:r>
        <w:t>PPD,</w:t>
      </w:r>
      <w:r>
        <w:rPr>
          <w:rFonts w:eastAsia="Arial"/>
        </w:rPr>
        <w:t xml:space="preserve"> </w:t>
      </w:r>
      <w:r>
        <w:t>(Predicted</w:t>
      </w:r>
      <w:r>
        <w:rPr>
          <w:rFonts w:eastAsia="Arial"/>
        </w:rPr>
        <w:t xml:space="preserve"> </w:t>
      </w:r>
      <w:r>
        <w:t>Percentage</w:t>
      </w:r>
      <w:r>
        <w:rPr>
          <w:rFonts w:eastAsia="Arial"/>
        </w:rPr>
        <w:t xml:space="preserve"> </w:t>
      </w:r>
      <w:r>
        <w:t>of</w:t>
      </w:r>
      <w:r>
        <w:rPr>
          <w:rFonts w:eastAsia="Arial"/>
        </w:rPr>
        <w:t xml:space="preserve"> </w:t>
      </w:r>
      <w:r>
        <w:t>Dissatisfied).</w:t>
      </w:r>
      <w:r w:rsidRPr="002506D1">
        <w:t xml:space="preserve"> </w:t>
      </w:r>
      <w:r>
        <w:t xml:space="preserve">(vgl. </w:t>
      </w:r>
      <w:r>
        <w:fldChar w:fldCharType="begin"/>
      </w:r>
      <w:r>
        <w:instrText xml:space="preserve"> ADDIN EN.CITE &lt;EndNote&gt;&lt;Cite&gt;&lt;Author&gt;ÖNorm&lt;/Author&gt;&lt;Year&gt;2006&lt;/Year&gt;&lt;RecNum&gt;4951&lt;/RecNum&gt;&lt;DisplayText&gt;(ÖNorm, 2006)&lt;/DisplayText&gt;&lt;record&gt;&lt;rec-number&gt;4951&lt;/rec-number&gt;&lt;foreign-keys&gt;&lt;key app="EN" db-id="zxrx2rspbdeppzeza5fv0e03vdwxr5svazdr" timestamp="1363287804"&gt;4951&lt;/key&gt;&lt;/foreign-keys&gt;&lt;ref-type name="Journal Article"&gt;17&lt;/ref-type&gt;&lt;contributors&gt;&lt;authors&gt;&lt;author&gt;ÖNorm&lt;/author&gt;&lt;/authors&gt;&lt;/contributors&gt;&lt;titles&gt;&lt;title&gt;ÖNorm EN ISO 7730 Ergonomie der thermischen Umgebung - Analytische Bestimmung und Interpretation der thermischen Behaglichkeit durch Berechnung des PMV- und des PPD-Indexes und Kriterien der lokalen thermischen Behaglichkeit&amp;#xD;&lt;/title&gt;&lt;/titles&gt;&lt;dates&gt;&lt;year&gt;2006&lt;/year&gt;&lt;/dates&gt;&lt;urls&gt;&lt;/urls&gt;&lt;/record&gt;&lt;/Cite&gt;&lt;/EndNote&gt;</w:instrText>
      </w:r>
      <w:r>
        <w:fldChar w:fldCharType="separate"/>
      </w:r>
      <w:r>
        <w:rPr>
          <w:noProof/>
        </w:rPr>
        <w:t>(</w:t>
      </w:r>
      <w:hyperlink w:anchor="_ENREF_12" w:tooltip="ÖNorm, 2006 #4951" w:history="1">
        <w:r w:rsidR="00C64325">
          <w:rPr>
            <w:noProof/>
          </w:rPr>
          <w:t>ÖNorm, 2006</w:t>
        </w:r>
      </w:hyperlink>
      <w:r>
        <w:rPr>
          <w:noProof/>
        </w:rPr>
        <w:t>)</w:t>
      </w:r>
      <w:r>
        <w:fldChar w:fldCharType="end"/>
      </w:r>
      <w:r>
        <w:t>).</w:t>
      </w:r>
      <w:r>
        <w:rPr>
          <w:rFonts w:eastAsia="Arial"/>
        </w:rPr>
        <w:t xml:space="preserve"> </w:t>
      </w:r>
    </w:p>
    <w:p w:rsidR="00CC09A4" w:rsidRDefault="00CC09A4" w:rsidP="00CC09A4">
      <w:pPr>
        <w:jc w:val="both"/>
        <w:rPr>
          <w:b/>
          <w:bCs/>
          <w:sz w:val="28"/>
          <w:szCs w:val="26"/>
        </w:rPr>
      </w:pPr>
      <w:r>
        <w:t>Für</w:t>
      </w:r>
      <w:r>
        <w:rPr>
          <w:rFonts w:eastAsia="Arial"/>
        </w:rPr>
        <w:t xml:space="preserve"> </w:t>
      </w:r>
      <w:r>
        <w:t>Gebäude</w:t>
      </w:r>
      <w:r>
        <w:rPr>
          <w:rFonts w:eastAsia="Arial"/>
        </w:rPr>
        <w:t xml:space="preserve"> </w:t>
      </w:r>
      <w:r>
        <w:t>ohne</w:t>
      </w:r>
      <w:r>
        <w:rPr>
          <w:rFonts w:eastAsia="Arial"/>
        </w:rPr>
        <w:t xml:space="preserve"> </w:t>
      </w:r>
      <w:r>
        <w:t>aktive</w:t>
      </w:r>
      <w:r>
        <w:rPr>
          <w:rFonts w:eastAsia="Arial"/>
        </w:rPr>
        <w:t xml:space="preserve"> </w:t>
      </w:r>
      <w:r>
        <w:t>Kühlung,</w:t>
      </w:r>
      <w:r>
        <w:rPr>
          <w:rFonts w:eastAsia="Arial"/>
        </w:rPr>
        <w:t xml:space="preserve"> </w:t>
      </w:r>
      <w:r>
        <w:t>die</w:t>
      </w:r>
      <w:r>
        <w:rPr>
          <w:rFonts w:eastAsia="Arial"/>
        </w:rPr>
        <w:t xml:space="preserve"> </w:t>
      </w:r>
      <w:r>
        <w:t>ausschließlich</w:t>
      </w:r>
      <w:r>
        <w:rPr>
          <w:rFonts w:eastAsia="Arial"/>
        </w:rPr>
        <w:t xml:space="preserve"> </w:t>
      </w:r>
      <w:r>
        <w:t>auf</w:t>
      </w:r>
      <w:r>
        <w:rPr>
          <w:rFonts w:eastAsia="Arial"/>
        </w:rPr>
        <w:t xml:space="preserve"> </w:t>
      </w:r>
      <w:r>
        <w:t>natürliche</w:t>
      </w:r>
      <w:r>
        <w:rPr>
          <w:rFonts w:eastAsia="Arial"/>
        </w:rPr>
        <w:t xml:space="preserve"> </w:t>
      </w:r>
      <w:r>
        <w:t>Kühlmaßnahmen</w:t>
      </w:r>
      <w:r>
        <w:rPr>
          <w:rFonts w:eastAsia="Arial"/>
        </w:rPr>
        <w:t xml:space="preserve"> </w:t>
      </w:r>
      <w:r>
        <w:t>setzen</w:t>
      </w:r>
      <w:r>
        <w:rPr>
          <w:rFonts w:eastAsia="Arial"/>
        </w:rPr>
        <w:t xml:space="preserve"> </w:t>
      </w:r>
      <w:r>
        <w:t>(z.B.</w:t>
      </w:r>
      <w:r>
        <w:rPr>
          <w:rFonts w:eastAsia="Arial"/>
        </w:rPr>
        <w:t xml:space="preserve"> </w:t>
      </w:r>
      <w:r>
        <w:t>verstärkter</w:t>
      </w:r>
      <w:r>
        <w:rPr>
          <w:rFonts w:eastAsia="Arial"/>
        </w:rPr>
        <w:t xml:space="preserve"> </w:t>
      </w:r>
      <w:r>
        <w:t>nächtlicher</w:t>
      </w:r>
      <w:r>
        <w:rPr>
          <w:rFonts w:eastAsia="Arial"/>
        </w:rPr>
        <w:t xml:space="preserve"> </w:t>
      </w:r>
      <w:r>
        <w:t>Fensterluftwechsel,</w:t>
      </w:r>
      <w:r>
        <w:rPr>
          <w:rFonts w:eastAsia="Arial"/>
        </w:rPr>
        <w:t xml:space="preserve"> </w:t>
      </w:r>
      <w:r>
        <w:t>verstärkter</w:t>
      </w:r>
      <w:r>
        <w:rPr>
          <w:rFonts w:eastAsia="Arial"/>
        </w:rPr>
        <w:t xml:space="preserve"> </w:t>
      </w:r>
      <w:r>
        <w:t>Fensterluftwechsel</w:t>
      </w:r>
      <w:r>
        <w:rPr>
          <w:rFonts w:eastAsia="Arial"/>
        </w:rPr>
        <w:t xml:space="preserve"> </w:t>
      </w:r>
      <w:r>
        <w:t>auch</w:t>
      </w:r>
      <w:r>
        <w:rPr>
          <w:rFonts w:eastAsia="Arial"/>
        </w:rPr>
        <w:t xml:space="preserve"> </w:t>
      </w:r>
      <w:r>
        <w:t>am</w:t>
      </w:r>
      <w:r>
        <w:rPr>
          <w:rFonts w:eastAsia="Arial"/>
        </w:rPr>
        <w:t xml:space="preserve"> </w:t>
      </w:r>
      <w:r>
        <w:t>Tag),</w:t>
      </w:r>
      <w:r>
        <w:rPr>
          <w:rFonts w:eastAsia="Arial"/>
        </w:rPr>
        <w:t xml:space="preserve"> </w:t>
      </w:r>
      <w:r>
        <w:t>wird</w:t>
      </w:r>
      <w:r>
        <w:rPr>
          <w:rFonts w:eastAsia="Arial"/>
        </w:rPr>
        <w:t xml:space="preserve"> </w:t>
      </w:r>
      <w:r>
        <w:t>die</w:t>
      </w:r>
      <w:r>
        <w:rPr>
          <w:rFonts w:eastAsia="Arial"/>
        </w:rPr>
        <w:t xml:space="preserve"> </w:t>
      </w:r>
      <w:r>
        <w:t>quantitative</w:t>
      </w:r>
      <w:r>
        <w:rPr>
          <w:rFonts w:eastAsia="Arial"/>
        </w:rPr>
        <w:t xml:space="preserve"> </w:t>
      </w:r>
      <w:r>
        <w:t>Beurteilung</w:t>
      </w:r>
      <w:r>
        <w:rPr>
          <w:rFonts w:eastAsia="Arial"/>
        </w:rPr>
        <w:t xml:space="preserve"> </w:t>
      </w:r>
      <w:r>
        <w:t>der</w:t>
      </w:r>
      <w:r>
        <w:rPr>
          <w:rFonts w:eastAsia="Arial"/>
        </w:rPr>
        <w:t xml:space="preserve"> </w:t>
      </w:r>
      <w:r>
        <w:t>thermischen</w:t>
      </w:r>
      <w:r>
        <w:rPr>
          <w:rFonts w:eastAsia="Arial"/>
        </w:rPr>
        <w:t xml:space="preserve"> </w:t>
      </w:r>
      <w:r>
        <w:t>Behaglichkeit</w:t>
      </w:r>
      <w:r>
        <w:rPr>
          <w:rFonts w:eastAsia="Arial"/>
        </w:rPr>
        <w:t xml:space="preserve"> </w:t>
      </w:r>
      <w:r>
        <w:t>ÖNORM</w:t>
      </w:r>
      <w:r>
        <w:rPr>
          <w:rFonts w:eastAsia="Arial"/>
        </w:rPr>
        <w:t xml:space="preserve"> </w:t>
      </w:r>
      <w:r>
        <w:t>EN</w:t>
      </w:r>
      <w:r>
        <w:rPr>
          <w:rFonts w:eastAsia="Arial"/>
        </w:rPr>
        <w:t xml:space="preserve"> </w:t>
      </w:r>
      <w:r>
        <w:t xml:space="preserve">15251 </w:t>
      </w:r>
      <w:r>
        <w:fldChar w:fldCharType="begin"/>
      </w:r>
      <w:r>
        <w:instrText xml:space="preserve"> ADDIN EN.CITE &lt;EndNote&gt;&lt;Cite&gt;&lt;Author&gt;ÖNorm&lt;/Author&gt;&lt;Year&gt;2007&lt;/Year&gt;&lt;RecNum&gt;457&lt;/RecNum&gt;&lt;DisplayText&gt;(ÖNorm, 2007)&lt;/DisplayText&gt;&lt;record&gt;&lt;rec-number&gt;457&lt;/rec-number&gt;&lt;foreign-keys&gt;&lt;key app="EN" db-id="zxrx2rspbdeppzeza5fv0e03vdwxr5svazdr" timestamp="1331399396"&gt;457&lt;/key&gt;&lt;/foreign-keys&gt;&lt;ref-type name="Report"&gt;27&lt;/ref-type&gt;&lt;contributors&gt;&lt;authors&gt;&lt;author&gt;ÖNorm&lt;/author&gt;&lt;/authors&gt;&lt;/contributors&gt;&lt;titles&gt;&lt;title&gt;ÖNorm EN 15251 Eingangsparameter für das Raumklima zur Auslegung und Bewertung der Energieeffizienz von Gebäuden - Raumluftqualität, Temperatur, Licht und Akustik&lt;/title&gt;&lt;/titles&gt;&lt;dates&gt;&lt;year&gt;2007&lt;/year&gt;&lt;/dates&gt;&lt;urls&gt;&lt;/urls&gt;&lt;/record&gt;&lt;/Cite&gt;&lt;/EndNote&gt;</w:instrText>
      </w:r>
      <w:r>
        <w:fldChar w:fldCharType="separate"/>
      </w:r>
      <w:r>
        <w:rPr>
          <w:noProof/>
        </w:rPr>
        <w:t>(</w:t>
      </w:r>
      <w:hyperlink w:anchor="_ENREF_13" w:tooltip="ÖNorm, 2007 #457" w:history="1">
        <w:r w:rsidR="00C64325">
          <w:rPr>
            <w:noProof/>
          </w:rPr>
          <w:t>ÖNorm, 2007</w:t>
        </w:r>
      </w:hyperlink>
      <w:r>
        <w:rPr>
          <w:noProof/>
        </w:rPr>
        <w:t>)</w:t>
      </w:r>
      <w:r>
        <w:fldChar w:fldCharType="end"/>
      </w:r>
      <w:r>
        <w:rPr>
          <w:rFonts w:eastAsia="Arial"/>
        </w:rPr>
        <w:t xml:space="preserve"> </w:t>
      </w:r>
      <w:r>
        <w:t>angewandt.</w:t>
      </w:r>
      <w:r>
        <w:rPr>
          <w:rFonts w:eastAsia="Arial"/>
        </w:rPr>
        <w:t xml:space="preserve"> </w:t>
      </w:r>
      <w:r>
        <w:t>Wesentlich</w:t>
      </w:r>
      <w:r>
        <w:rPr>
          <w:rFonts w:eastAsia="Arial"/>
        </w:rPr>
        <w:t xml:space="preserve"> </w:t>
      </w:r>
      <w:r>
        <w:t>am</w:t>
      </w:r>
      <w:r>
        <w:rPr>
          <w:rFonts w:eastAsia="Arial"/>
        </w:rPr>
        <w:t xml:space="preserve"> </w:t>
      </w:r>
      <w:r>
        <w:t>dort</w:t>
      </w:r>
      <w:r>
        <w:rPr>
          <w:rFonts w:eastAsia="Arial"/>
        </w:rPr>
        <w:t xml:space="preserve"> </w:t>
      </w:r>
      <w:r>
        <w:t>angewendeten</w:t>
      </w:r>
      <w:r>
        <w:rPr>
          <w:rFonts w:eastAsia="Arial"/>
        </w:rPr>
        <w:t xml:space="preserve"> </w:t>
      </w:r>
      <w:r>
        <w:t>adaptiven</w:t>
      </w:r>
      <w:r>
        <w:rPr>
          <w:rFonts w:eastAsia="Arial"/>
        </w:rPr>
        <w:t xml:space="preserve"> </w:t>
      </w:r>
      <w:r>
        <w:t>Modell</w:t>
      </w:r>
      <w:r>
        <w:rPr>
          <w:rFonts w:eastAsia="Arial"/>
        </w:rPr>
        <w:t xml:space="preserve"> </w:t>
      </w:r>
      <w:r>
        <w:t>ist</w:t>
      </w:r>
      <w:r>
        <w:rPr>
          <w:rFonts w:eastAsia="Arial"/>
        </w:rPr>
        <w:t xml:space="preserve"> </w:t>
      </w:r>
      <w:r>
        <w:t>der</w:t>
      </w:r>
      <w:r>
        <w:rPr>
          <w:rFonts w:eastAsia="Arial"/>
        </w:rPr>
        <w:t xml:space="preserve"> </w:t>
      </w:r>
      <w:r>
        <w:t>Ansatz,</w:t>
      </w:r>
      <w:r>
        <w:rPr>
          <w:rFonts w:eastAsia="Arial"/>
        </w:rPr>
        <w:t xml:space="preserve"> </w:t>
      </w:r>
      <w:r>
        <w:t>dass</w:t>
      </w:r>
      <w:r>
        <w:rPr>
          <w:rFonts w:eastAsia="Arial"/>
        </w:rPr>
        <w:t xml:space="preserve"> </w:t>
      </w:r>
      <w:r>
        <w:t>das</w:t>
      </w:r>
      <w:r>
        <w:rPr>
          <w:rFonts w:eastAsia="Arial"/>
        </w:rPr>
        <w:t xml:space="preserve"> </w:t>
      </w:r>
      <w:r>
        <w:t>Empfinden</w:t>
      </w:r>
      <w:r>
        <w:rPr>
          <w:rFonts w:eastAsia="Arial"/>
        </w:rPr>
        <w:t xml:space="preserve"> </w:t>
      </w:r>
      <w:r>
        <w:t>von</w:t>
      </w:r>
      <w:r>
        <w:rPr>
          <w:rFonts w:eastAsia="Arial"/>
        </w:rPr>
        <w:t xml:space="preserve"> </w:t>
      </w:r>
      <w:r>
        <w:t>thermischem</w:t>
      </w:r>
      <w:r>
        <w:rPr>
          <w:rFonts w:eastAsia="Arial"/>
        </w:rPr>
        <w:t xml:space="preserve"> </w:t>
      </w:r>
      <w:r>
        <w:t>Komfort</w:t>
      </w:r>
      <w:r>
        <w:rPr>
          <w:rFonts w:eastAsia="Arial"/>
        </w:rPr>
        <w:t xml:space="preserve"> </w:t>
      </w:r>
      <w:r>
        <w:t>nicht</w:t>
      </w:r>
      <w:r>
        <w:rPr>
          <w:rFonts w:eastAsia="Arial"/>
        </w:rPr>
        <w:t xml:space="preserve"> </w:t>
      </w:r>
      <w:r>
        <w:t>nur</w:t>
      </w:r>
      <w:r>
        <w:rPr>
          <w:rFonts w:eastAsia="Arial"/>
        </w:rPr>
        <w:t xml:space="preserve"> </w:t>
      </w:r>
      <w:r>
        <w:t>von</w:t>
      </w:r>
      <w:r>
        <w:rPr>
          <w:rFonts w:eastAsia="Arial"/>
        </w:rPr>
        <w:t xml:space="preserve"> </w:t>
      </w:r>
      <w:r>
        <w:t>klimatischen</w:t>
      </w:r>
      <w:r>
        <w:rPr>
          <w:rFonts w:eastAsia="Arial"/>
        </w:rPr>
        <w:t xml:space="preserve"> </w:t>
      </w:r>
      <w:r>
        <w:t>Bedingungen</w:t>
      </w:r>
      <w:r>
        <w:rPr>
          <w:rFonts w:eastAsia="Arial"/>
        </w:rPr>
        <w:t xml:space="preserve"> </w:t>
      </w:r>
      <w:r>
        <w:t>des</w:t>
      </w:r>
      <w:r>
        <w:rPr>
          <w:rFonts w:eastAsia="Arial"/>
        </w:rPr>
        <w:t xml:space="preserve"> </w:t>
      </w:r>
      <w:r>
        <w:t>Innenraums</w:t>
      </w:r>
      <w:r>
        <w:rPr>
          <w:rFonts w:eastAsia="Arial"/>
        </w:rPr>
        <w:t xml:space="preserve"> </w:t>
      </w:r>
      <w:r>
        <w:t>(neben</w:t>
      </w:r>
      <w:r>
        <w:rPr>
          <w:rFonts w:eastAsia="Arial"/>
        </w:rPr>
        <w:t xml:space="preserve"> </w:t>
      </w:r>
      <w:r>
        <w:t>Aktivität</w:t>
      </w:r>
      <w:r>
        <w:rPr>
          <w:rFonts w:eastAsia="Arial"/>
        </w:rPr>
        <w:t xml:space="preserve"> </w:t>
      </w:r>
      <w:r>
        <w:t>und</w:t>
      </w:r>
      <w:r>
        <w:rPr>
          <w:rFonts w:eastAsia="Arial"/>
        </w:rPr>
        <w:t xml:space="preserve"> </w:t>
      </w:r>
      <w:r>
        <w:t>Kleidung)</w:t>
      </w:r>
      <w:r>
        <w:rPr>
          <w:rFonts w:eastAsia="Arial"/>
        </w:rPr>
        <w:t xml:space="preserve"> </w:t>
      </w:r>
      <w:r>
        <w:t>abhängen,</w:t>
      </w:r>
      <w:r>
        <w:rPr>
          <w:rFonts w:eastAsia="Arial"/>
        </w:rPr>
        <w:t xml:space="preserve"> </w:t>
      </w:r>
      <w:r>
        <w:t>sondern</w:t>
      </w:r>
      <w:r>
        <w:rPr>
          <w:rFonts w:eastAsia="Arial"/>
        </w:rPr>
        <w:t xml:space="preserve"> </w:t>
      </w:r>
      <w:r>
        <w:t>auch</w:t>
      </w:r>
      <w:r>
        <w:rPr>
          <w:rFonts w:eastAsia="Arial"/>
        </w:rPr>
        <w:t xml:space="preserve"> </w:t>
      </w:r>
      <w:r>
        <w:t>von</w:t>
      </w:r>
      <w:r>
        <w:rPr>
          <w:rFonts w:eastAsia="Arial"/>
        </w:rPr>
        <w:t xml:space="preserve"> </w:t>
      </w:r>
      <w:r>
        <w:t>den</w:t>
      </w:r>
      <w:r>
        <w:rPr>
          <w:rFonts w:eastAsia="Arial"/>
        </w:rPr>
        <w:t xml:space="preserve"> </w:t>
      </w:r>
      <w:r>
        <w:t>Außenbedingungen</w:t>
      </w:r>
      <w:r>
        <w:rPr>
          <w:rFonts w:eastAsia="Arial"/>
        </w:rPr>
        <w:t xml:space="preserve"> </w:t>
      </w:r>
      <w:r>
        <w:t>(in</w:t>
      </w:r>
      <w:r>
        <w:rPr>
          <w:rFonts w:eastAsia="Arial"/>
        </w:rPr>
        <w:t xml:space="preserve"> </w:t>
      </w:r>
      <w:r>
        <w:t>der</w:t>
      </w:r>
      <w:r>
        <w:rPr>
          <w:rFonts w:eastAsia="Arial"/>
        </w:rPr>
        <w:t xml:space="preserve"> </w:t>
      </w:r>
      <w:r>
        <w:t>Norm</w:t>
      </w:r>
      <w:r>
        <w:rPr>
          <w:rFonts w:eastAsia="Arial"/>
        </w:rPr>
        <w:t xml:space="preserve"> </w:t>
      </w:r>
      <w:r>
        <w:t>der</w:t>
      </w:r>
      <w:r>
        <w:rPr>
          <w:rFonts w:eastAsia="Arial"/>
        </w:rPr>
        <w:t xml:space="preserve"> </w:t>
      </w:r>
      <w:r>
        <w:t>gleitenden</w:t>
      </w:r>
      <w:r>
        <w:rPr>
          <w:rFonts w:eastAsia="Arial"/>
        </w:rPr>
        <w:t xml:space="preserve"> </w:t>
      </w:r>
      <w:r>
        <w:t>Außenlufttemperatur).</w:t>
      </w:r>
      <w:r>
        <w:rPr>
          <w:rFonts w:eastAsia="Arial"/>
        </w:rPr>
        <w:t xml:space="preserve"> Ist d</w:t>
      </w:r>
      <w:r>
        <w:t>ie</w:t>
      </w:r>
      <w:r>
        <w:rPr>
          <w:rFonts w:eastAsia="Arial"/>
        </w:rPr>
        <w:t xml:space="preserve"> </w:t>
      </w:r>
      <w:r>
        <w:t>Anpassung</w:t>
      </w:r>
      <w:r>
        <w:rPr>
          <w:rFonts w:eastAsia="Arial"/>
        </w:rPr>
        <w:t xml:space="preserve"> </w:t>
      </w:r>
      <w:r>
        <w:t>des</w:t>
      </w:r>
      <w:r>
        <w:rPr>
          <w:rFonts w:eastAsia="Arial"/>
        </w:rPr>
        <w:t xml:space="preserve"> </w:t>
      </w:r>
      <w:r>
        <w:t>Nutzers</w:t>
      </w:r>
      <w:r>
        <w:rPr>
          <w:rFonts w:eastAsia="Arial"/>
        </w:rPr>
        <w:t xml:space="preserve"> </w:t>
      </w:r>
      <w:r>
        <w:t>an</w:t>
      </w:r>
      <w:r>
        <w:rPr>
          <w:rFonts w:eastAsia="Arial"/>
        </w:rPr>
        <w:t xml:space="preserve"> </w:t>
      </w:r>
      <w:r>
        <w:t>das</w:t>
      </w:r>
      <w:r>
        <w:rPr>
          <w:rFonts w:eastAsia="Arial"/>
        </w:rPr>
        <w:t xml:space="preserve"> </w:t>
      </w:r>
      <w:r>
        <w:t>Raumklima</w:t>
      </w:r>
      <w:r>
        <w:rPr>
          <w:rFonts w:eastAsia="Arial"/>
        </w:rPr>
        <w:t xml:space="preserve"> </w:t>
      </w:r>
      <w:r>
        <w:t>durch</w:t>
      </w:r>
      <w:r>
        <w:rPr>
          <w:rFonts w:eastAsia="Arial"/>
        </w:rPr>
        <w:t xml:space="preserve"> </w:t>
      </w:r>
      <w:r>
        <w:t>Änderung</w:t>
      </w:r>
      <w:r>
        <w:rPr>
          <w:rFonts w:eastAsia="Arial"/>
        </w:rPr>
        <w:t xml:space="preserve"> </w:t>
      </w:r>
      <w:r>
        <w:t>der</w:t>
      </w:r>
      <w:r>
        <w:rPr>
          <w:rFonts w:eastAsia="Arial"/>
        </w:rPr>
        <w:t xml:space="preserve"> </w:t>
      </w:r>
      <w:r>
        <w:t>Bekleidungsstärke</w:t>
      </w:r>
      <w:r>
        <w:rPr>
          <w:rFonts w:eastAsia="Arial"/>
        </w:rPr>
        <w:t xml:space="preserve"> </w:t>
      </w:r>
      <w:r>
        <w:t>oder</w:t>
      </w:r>
      <w:r>
        <w:rPr>
          <w:rFonts w:eastAsia="Arial"/>
        </w:rPr>
        <w:t xml:space="preserve"> </w:t>
      </w:r>
      <w:r>
        <w:t>die</w:t>
      </w:r>
      <w:r>
        <w:rPr>
          <w:rFonts w:eastAsia="Arial"/>
        </w:rPr>
        <w:t xml:space="preserve"> </w:t>
      </w:r>
      <w:r>
        <w:t>Öffnung</w:t>
      </w:r>
      <w:r>
        <w:rPr>
          <w:rFonts w:eastAsia="Arial"/>
        </w:rPr>
        <w:t xml:space="preserve"> </w:t>
      </w:r>
      <w:r>
        <w:t>der</w:t>
      </w:r>
      <w:r>
        <w:rPr>
          <w:rFonts w:eastAsia="Arial"/>
        </w:rPr>
        <w:t xml:space="preserve"> </w:t>
      </w:r>
      <w:r>
        <w:t>Fenster</w:t>
      </w:r>
      <w:r>
        <w:rPr>
          <w:rFonts w:eastAsia="Arial"/>
        </w:rPr>
        <w:t xml:space="preserve"> </w:t>
      </w:r>
      <w:r>
        <w:t>möglich, können deutlich</w:t>
      </w:r>
      <w:r>
        <w:rPr>
          <w:rFonts w:eastAsia="Arial"/>
        </w:rPr>
        <w:t xml:space="preserve"> </w:t>
      </w:r>
      <w:r>
        <w:t>wärmere</w:t>
      </w:r>
      <w:r>
        <w:rPr>
          <w:rFonts w:eastAsia="Arial"/>
        </w:rPr>
        <w:t xml:space="preserve"> </w:t>
      </w:r>
      <w:r>
        <w:t>Raumzustände</w:t>
      </w:r>
      <w:r>
        <w:rPr>
          <w:rFonts w:eastAsia="Arial"/>
        </w:rPr>
        <w:t xml:space="preserve"> </w:t>
      </w:r>
      <w:r>
        <w:t>noch</w:t>
      </w:r>
      <w:r>
        <w:rPr>
          <w:rFonts w:eastAsia="Arial"/>
        </w:rPr>
        <w:t xml:space="preserve"> </w:t>
      </w:r>
      <w:r>
        <w:t>als</w:t>
      </w:r>
      <w:r>
        <w:rPr>
          <w:rFonts w:eastAsia="Arial"/>
        </w:rPr>
        <w:t xml:space="preserve"> </w:t>
      </w:r>
      <w:r>
        <w:t>komfortabel</w:t>
      </w:r>
      <w:r>
        <w:rPr>
          <w:rFonts w:eastAsia="Arial"/>
        </w:rPr>
        <w:t xml:space="preserve"> </w:t>
      </w:r>
      <w:r>
        <w:t>eingeschätzt werden.</w:t>
      </w:r>
      <w:bookmarkStart w:id="7" w:name="_Toc406418682"/>
    </w:p>
    <w:p w:rsidR="00CC09A4" w:rsidRDefault="00CC09A4" w:rsidP="007848D9">
      <w:pPr>
        <w:pStyle w:val="berschrift6"/>
      </w:pPr>
      <w:r w:rsidRPr="007E0610">
        <w:t>Vorausgesagtes mittleres Votum (PMV)</w:t>
      </w:r>
      <w:bookmarkEnd w:id="7"/>
    </w:p>
    <w:p w:rsidR="00CC09A4" w:rsidRPr="009910E1" w:rsidRDefault="00CC09A4" w:rsidP="00CC09A4">
      <w:pPr>
        <w:jc w:val="both"/>
        <w:rPr>
          <w:lang w:val="de-AT"/>
        </w:rPr>
      </w:pPr>
      <w:r w:rsidRPr="002506D1">
        <w:t xml:space="preserve">PMV ist eine auf Versuchsreihen basierende empirische Größe, die Aussagen über das thermische Behaglichkeitsempfinden im Untersuchungsgebiet ermöglicht. Da diese Größe eine Vielzahl von Einflussgrößen, wie die Luft- und Strahlungstemperatur, die Luftgeschwindigkeit, die Bekleidung sowie die Aktivität der Personen berücksichtigt, ist sie als ein summatives Behaglichkeitskriterium aufzufassen. PMV kann </w:t>
      </w:r>
      <w:r>
        <w:t>entsprechend der 7-stufigen Beurteilungsskala (</w:t>
      </w:r>
      <w:r>
        <w:fldChar w:fldCharType="begin"/>
      </w:r>
      <w:r>
        <w:instrText xml:space="preserve"> REF _Ref373413551 \h </w:instrText>
      </w:r>
      <w:r>
        <w:fldChar w:fldCharType="separate"/>
      </w:r>
      <w:r w:rsidR="00C10B8B">
        <w:t xml:space="preserve">Tabelle </w:t>
      </w:r>
      <w:r w:rsidR="00C10B8B">
        <w:rPr>
          <w:noProof/>
        </w:rPr>
        <w:t>2</w:t>
      </w:r>
      <w:r>
        <w:fldChar w:fldCharType="end"/>
      </w:r>
      <w:r>
        <w:t>) Werte von -3 (kalt) bis +3 (heiß</w:t>
      </w:r>
      <w:r w:rsidRPr="002506D1">
        <w:t>) annehmen, wobei 0 als thermisch neutral, also uneingeschränkt behaglich einzustufen ist.</w:t>
      </w:r>
      <w:r>
        <w:t xml:space="preserve"> (vgl.</w:t>
      </w:r>
      <w:r w:rsidRPr="009602EA">
        <w:t xml:space="preserve"> </w:t>
      </w:r>
      <w:r>
        <w:fldChar w:fldCharType="begin"/>
      </w:r>
      <w:r>
        <w:instrText xml:space="preserve"> ADDIN EN.CITE &lt;EndNote&gt;&lt;Cite&gt;&lt;Author&gt;Waltjen&lt;/Author&gt;&lt;Year&gt;2011&lt;/Year&gt;&lt;RecNum&gt;5934&lt;/RecNum&gt;&lt;DisplayText&gt;(Waltjen et al., 2011)&lt;/DisplayText&gt;&lt;record&gt;&lt;rec-number&gt;5934&lt;/rec-number&gt;&lt;foreign-keys&gt;&lt;key app="EN" db-id="zxrx2rspbdeppzeza5fv0e03vdwxr5svazdr" timestamp="1389949009"&gt;5934&lt;/key&gt;&lt;/foreign-keys&gt;&lt;ref-type name="Book"&gt;6&lt;/ref-type&gt;&lt;contributors&gt;&lt;authors&gt;&lt;author&gt;Waltjen, Tobias&lt;/author&gt;&lt;author&gt;Lipp, Bernhard&lt;/author&gt;&lt;author&gt;Zelger, Thomas&lt;/author&gt;&lt;author&gt;Motz, Erna&lt;/author&gt;&lt;author&gt;Huber, Wolfgang&lt;/author&gt;&lt;author&gt;Fellner, Maria&lt;/author&gt;&lt;author&gt;Scharnhorst, Astrid&lt;/author&gt;&lt;author&gt;Heisinger, Felix&lt;/author&gt;&lt;author&gt;Skarabella, Niko&lt;/author&gt;&lt;author&gt;Schmitradner, Mario&lt;/author&gt;&lt;author&gt;Richter, W.&lt;/author&gt;&lt;author&gt;Felsmann, C.&lt;/author&gt;&lt;author&gt;Gritzki, Ralf&lt;/author&gt;&lt;author&gt;Rösler, Markus&lt;/author&gt;&lt;author&gt;Obermayer, Jürgen&lt;/author&gt;&lt;author&gt;Herzog, Bernhard&lt;/author&gt;&lt;/authors&gt;&lt;/contributors&gt;&lt;titles&gt;&lt;title&gt;Handbuch Komfort für Passivhaus-Büros&lt;/title&gt;&lt;/titles&gt;&lt;dates&gt;&lt;year&gt;2011&lt;/year&gt;&lt;/dates&gt;&lt;pub-location&gt;Wien&lt;/pub-location&gt;&lt;publisher&gt;IBO - Österreichisches Institut für Baubiologie und -ökologie&lt;/publisher&gt;&lt;urls&gt;&lt;/urls&gt;&lt;/record&gt;&lt;/Cite&gt;&lt;/EndNote&gt;</w:instrText>
      </w:r>
      <w:r>
        <w:fldChar w:fldCharType="separate"/>
      </w:r>
      <w:r>
        <w:rPr>
          <w:noProof/>
        </w:rPr>
        <w:t>(</w:t>
      </w:r>
      <w:hyperlink w:anchor="_ENREF_16" w:tooltip="Waltjen, 2011 #5934" w:history="1">
        <w:r w:rsidR="00C64325">
          <w:rPr>
            <w:noProof/>
          </w:rPr>
          <w:t>Waltjen et al., 2011</w:t>
        </w:r>
      </w:hyperlink>
      <w:r>
        <w:rPr>
          <w:noProof/>
        </w:rPr>
        <w:t>)</w:t>
      </w:r>
      <w:r>
        <w:fldChar w:fldCharType="end"/>
      </w:r>
      <w:r>
        <w:t>)</w:t>
      </w:r>
    </w:p>
    <w:tbl>
      <w:tblPr>
        <w:tblStyle w:val="MittleresRaster3-Akzent3"/>
        <w:tblW w:w="0" w:type="auto"/>
        <w:tblInd w:w="2518" w:type="dxa"/>
        <w:tblLayout w:type="fixed"/>
        <w:tblLook w:val="04A0" w:firstRow="1" w:lastRow="0" w:firstColumn="1" w:lastColumn="0" w:noHBand="0" w:noVBand="1"/>
      </w:tblPr>
      <w:tblGrid>
        <w:gridCol w:w="2087"/>
        <w:gridCol w:w="2024"/>
      </w:tblGrid>
      <w:tr w:rsidR="00CC09A4" w:rsidTr="00441E7C">
        <w:trPr>
          <w:cnfStyle w:val="100000000000" w:firstRow="1" w:lastRow="0" w:firstColumn="0" w:lastColumn="0" w:oddVBand="0" w:evenVBand="0" w:oddHBand="0"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4111" w:type="dxa"/>
            <w:gridSpan w:val="2"/>
          </w:tcPr>
          <w:p w:rsidR="00CC09A4" w:rsidRPr="009910E1" w:rsidRDefault="00CC09A4" w:rsidP="00441E7C">
            <w:pPr>
              <w:pStyle w:val="Tabellentext"/>
              <w:rPr>
                <w:color w:val="FFFFFF" w:themeColor="background1"/>
                <w:lang w:val="de-AT"/>
              </w:rPr>
            </w:pPr>
            <w:r w:rsidRPr="009910E1">
              <w:rPr>
                <w:color w:val="FFFFFF" w:themeColor="background1"/>
                <w:lang w:val="de-AT"/>
              </w:rPr>
              <w:tab/>
              <w:t>Klimabeurteilungsskala</w:t>
            </w:r>
          </w:p>
        </w:tc>
      </w:tr>
      <w:tr w:rsidR="00CC09A4" w:rsidTr="00441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7" w:type="dxa"/>
            <w:vAlign w:val="center"/>
          </w:tcPr>
          <w:p w:rsidR="00CC09A4" w:rsidRPr="009910E1" w:rsidRDefault="00CC09A4" w:rsidP="00441E7C">
            <w:pPr>
              <w:pStyle w:val="Tabellentext"/>
              <w:jc w:val="center"/>
              <w:rPr>
                <w:color w:val="FFFFFF" w:themeColor="background1"/>
                <w:lang w:val="de-AT"/>
              </w:rPr>
            </w:pPr>
            <w:r w:rsidRPr="009910E1">
              <w:rPr>
                <w:color w:val="FFFFFF" w:themeColor="background1"/>
                <w:lang w:val="de-AT"/>
              </w:rPr>
              <w:t>+3</w:t>
            </w:r>
          </w:p>
        </w:tc>
        <w:tc>
          <w:tcPr>
            <w:tcW w:w="2024" w:type="dxa"/>
            <w:vAlign w:val="center"/>
          </w:tcPr>
          <w:p w:rsidR="00CC09A4" w:rsidRPr="009910E1" w:rsidRDefault="00CC09A4" w:rsidP="00441E7C">
            <w:pPr>
              <w:pStyle w:val="Tabellentext"/>
              <w:jc w:val="center"/>
              <w:cnfStyle w:val="000000100000" w:firstRow="0" w:lastRow="0" w:firstColumn="0" w:lastColumn="0" w:oddVBand="0" w:evenVBand="0" w:oddHBand="1" w:evenHBand="0" w:firstRowFirstColumn="0" w:firstRowLastColumn="0" w:lastRowFirstColumn="0" w:lastRowLastColumn="0"/>
              <w:rPr>
                <w:color w:val="auto"/>
                <w:lang w:val="de-AT"/>
              </w:rPr>
            </w:pPr>
            <w:r w:rsidRPr="009910E1">
              <w:rPr>
                <w:color w:val="auto"/>
                <w:lang w:val="de-AT"/>
              </w:rPr>
              <w:t>heiß</w:t>
            </w:r>
          </w:p>
        </w:tc>
      </w:tr>
      <w:tr w:rsidR="00CC09A4" w:rsidTr="00441E7C">
        <w:tc>
          <w:tcPr>
            <w:cnfStyle w:val="001000000000" w:firstRow="0" w:lastRow="0" w:firstColumn="1" w:lastColumn="0" w:oddVBand="0" w:evenVBand="0" w:oddHBand="0" w:evenHBand="0" w:firstRowFirstColumn="0" w:firstRowLastColumn="0" w:lastRowFirstColumn="0" w:lastRowLastColumn="0"/>
            <w:tcW w:w="2087" w:type="dxa"/>
            <w:vAlign w:val="center"/>
          </w:tcPr>
          <w:p w:rsidR="00CC09A4" w:rsidRPr="009910E1" w:rsidRDefault="00CC09A4" w:rsidP="00441E7C">
            <w:pPr>
              <w:pStyle w:val="Tabellentext"/>
              <w:jc w:val="center"/>
              <w:rPr>
                <w:color w:val="FFFFFF" w:themeColor="background1"/>
                <w:lang w:val="de-AT"/>
              </w:rPr>
            </w:pPr>
            <w:r w:rsidRPr="009910E1">
              <w:rPr>
                <w:color w:val="FFFFFF" w:themeColor="background1"/>
                <w:lang w:val="de-AT"/>
              </w:rPr>
              <w:t>+2</w:t>
            </w:r>
          </w:p>
        </w:tc>
        <w:tc>
          <w:tcPr>
            <w:tcW w:w="2024" w:type="dxa"/>
            <w:vAlign w:val="center"/>
          </w:tcPr>
          <w:p w:rsidR="00CC09A4" w:rsidRPr="009910E1" w:rsidRDefault="00CC09A4" w:rsidP="00441E7C">
            <w:pPr>
              <w:pStyle w:val="Tabellentext"/>
              <w:jc w:val="center"/>
              <w:cnfStyle w:val="000000000000" w:firstRow="0" w:lastRow="0" w:firstColumn="0" w:lastColumn="0" w:oddVBand="0" w:evenVBand="0" w:oddHBand="0" w:evenHBand="0" w:firstRowFirstColumn="0" w:firstRowLastColumn="0" w:lastRowFirstColumn="0" w:lastRowLastColumn="0"/>
              <w:rPr>
                <w:color w:val="auto"/>
                <w:lang w:val="de-AT"/>
              </w:rPr>
            </w:pPr>
            <w:r w:rsidRPr="009910E1">
              <w:rPr>
                <w:color w:val="auto"/>
                <w:lang w:val="de-AT"/>
              </w:rPr>
              <w:t>warm</w:t>
            </w:r>
          </w:p>
        </w:tc>
      </w:tr>
      <w:tr w:rsidR="00CC09A4" w:rsidTr="00441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7" w:type="dxa"/>
            <w:vAlign w:val="center"/>
          </w:tcPr>
          <w:p w:rsidR="00CC09A4" w:rsidRPr="009910E1" w:rsidRDefault="00CC09A4" w:rsidP="00441E7C">
            <w:pPr>
              <w:pStyle w:val="Tabellentext"/>
              <w:jc w:val="center"/>
              <w:rPr>
                <w:color w:val="FFFFFF" w:themeColor="background1"/>
                <w:lang w:val="de-AT"/>
              </w:rPr>
            </w:pPr>
            <w:r w:rsidRPr="009910E1">
              <w:rPr>
                <w:color w:val="FFFFFF" w:themeColor="background1"/>
                <w:lang w:val="de-AT"/>
              </w:rPr>
              <w:t>+1</w:t>
            </w:r>
          </w:p>
        </w:tc>
        <w:tc>
          <w:tcPr>
            <w:tcW w:w="2024" w:type="dxa"/>
            <w:vAlign w:val="center"/>
          </w:tcPr>
          <w:p w:rsidR="00CC09A4" w:rsidRPr="009910E1" w:rsidRDefault="00CC09A4" w:rsidP="00441E7C">
            <w:pPr>
              <w:pStyle w:val="Tabellentext"/>
              <w:jc w:val="center"/>
              <w:cnfStyle w:val="000000100000" w:firstRow="0" w:lastRow="0" w:firstColumn="0" w:lastColumn="0" w:oddVBand="0" w:evenVBand="0" w:oddHBand="1" w:evenHBand="0" w:firstRowFirstColumn="0" w:firstRowLastColumn="0" w:lastRowFirstColumn="0" w:lastRowLastColumn="0"/>
              <w:rPr>
                <w:color w:val="auto"/>
                <w:lang w:val="de-AT"/>
              </w:rPr>
            </w:pPr>
            <w:r w:rsidRPr="009910E1">
              <w:rPr>
                <w:color w:val="auto"/>
                <w:lang w:val="de-AT"/>
              </w:rPr>
              <w:t>etwas warm</w:t>
            </w:r>
          </w:p>
        </w:tc>
      </w:tr>
      <w:tr w:rsidR="00CC09A4" w:rsidTr="00441E7C">
        <w:tc>
          <w:tcPr>
            <w:cnfStyle w:val="001000000000" w:firstRow="0" w:lastRow="0" w:firstColumn="1" w:lastColumn="0" w:oddVBand="0" w:evenVBand="0" w:oddHBand="0" w:evenHBand="0" w:firstRowFirstColumn="0" w:firstRowLastColumn="0" w:lastRowFirstColumn="0" w:lastRowLastColumn="0"/>
            <w:tcW w:w="2087" w:type="dxa"/>
            <w:vAlign w:val="center"/>
          </w:tcPr>
          <w:p w:rsidR="00CC09A4" w:rsidRPr="009910E1" w:rsidRDefault="00CC09A4" w:rsidP="00441E7C">
            <w:pPr>
              <w:pStyle w:val="Tabellentext"/>
              <w:jc w:val="center"/>
              <w:rPr>
                <w:color w:val="FFFFFF" w:themeColor="background1"/>
                <w:lang w:val="de-AT"/>
              </w:rPr>
            </w:pPr>
            <w:r w:rsidRPr="009910E1">
              <w:rPr>
                <w:color w:val="FFFFFF" w:themeColor="background1"/>
                <w:lang w:val="de-AT"/>
              </w:rPr>
              <w:t>0</w:t>
            </w:r>
          </w:p>
        </w:tc>
        <w:tc>
          <w:tcPr>
            <w:tcW w:w="2024" w:type="dxa"/>
            <w:vAlign w:val="center"/>
          </w:tcPr>
          <w:p w:rsidR="00CC09A4" w:rsidRPr="009910E1" w:rsidRDefault="00CC09A4" w:rsidP="00441E7C">
            <w:pPr>
              <w:pStyle w:val="Tabellentext"/>
              <w:jc w:val="center"/>
              <w:cnfStyle w:val="000000000000" w:firstRow="0" w:lastRow="0" w:firstColumn="0" w:lastColumn="0" w:oddVBand="0" w:evenVBand="0" w:oddHBand="0" w:evenHBand="0" w:firstRowFirstColumn="0" w:firstRowLastColumn="0" w:lastRowFirstColumn="0" w:lastRowLastColumn="0"/>
              <w:rPr>
                <w:color w:val="auto"/>
                <w:lang w:val="de-AT"/>
              </w:rPr>
            </w:pPr>
            <w:r w:rsidRPr="009910E1">
              <w:rPr>
                <w:color w:val="auto"/>
                <w:lang w:val="de-AT"/>
              </w:rPr>
              <w:t>neutral</w:t>
            </w:r>
          </w:p>
        </w:tc>
      </w:tr>
      <w:tr w:rsidR="00CC09A4" w:rsidTr="00441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7" w:type="dxa"/>
            <w:vAlign w:val="center"/>
          </w:tcPr>
          <w:p w:rsidR="00CC09A4" w:rsidRPr="009910E1" w:rsidRDefault="00CC09A4" w:rsidP="00441E7C">
            <w:pPr>
              <w:pStyle w:val="Tabellentext"/>
              <w:jc w:val="center"/>
              <w:rPr>
                <w:color w:val="FFFFFF" w:themeColor="background1"/>
                <w:lang w:val="de-AT"/>
              </w:rPr>
            </w:pPr>
            <w:r w:rsidRPr="009910E1">
              <w:rPr>
                <w:color w:val="FFFFFF" w:themeColor="background1"/>
                <w:lang w:val="de-AT"/>
              </w:rPr>
              <w:t>-1</w:t>
            </w:r>
          </w:p>
        </w:tc>
        <w:tc>
          <w:tcPr>
            <w:tcW w:w="2024" w:type="dxa"/>
            <w:vAlign w:val="center"/>
          </w:tcPr>
          <w:p w:rsidR="00CC09A4" w:rsidRPr="009910E1" w:rsidRDefault="00CC09A4" w:rsidP="00441E7C">
            <w:pPr>
              <w:pStyle w:val="Tabellentext"/>
              <w:jc w:val="center"/>
              <w:cnfStyle w:val="000000100000" w:firstRow="0" w:lastRow="0" w:firstColumn="0" w:lastColumn="0" w:oddVBand="0" w:evenVBand="0" w:oddHBand="1" w:evenHBand="0" w:firstRowFirstColumn="0" w:firstRowLastColumn="0" w:lastRowFirstColumn="0" w:lastRowLastColumn="0"/>
              <w:rPr>
                <w:color w:val="auto"/>
                <w:lang w:val="de-AT"/>
              </w:rPr>
            </w:pPr>
            <w:r w:rsidRPr="009910E1">
              <w:rPr>
                <w:color w:val="auto"/>
                <w:lang w:val="de-AT"/>
              </w:rPr>
              <w:t>etwas kühl</w:t>
            </w:r>
          </w:p>
        </w:tc>
      </w:tr>
      <w:tr w:rsidR="00CC09A4" w:rsidTr="00441E7C">
        <w:tc>
          <w:tcPr>
            <w:cnfStyle w:val="001000000000" w:firstRow="0" w:lastRow="0" w:firstColumn="1" w:lastColumn="0" w:oddVBand="0" w:evenVBand="0" w:oddHBand="0" w:evenHBand="0" w:firstRowFirstColumn="0" w:firstRowLastColumn="0" w:lastRowFirstColumn="0" w:lastRowLastColumn="0"/>
            <w:tcW w:w="2087" w:type="dxa"/>
            <w:vAlign w:val="center"/>
          </w:tcPr>
          <w:p w:rsidR="00CC09A4" w:rsidRPr="009910E1" w:rsidRDefault="00CC09A4" w:rsidP="00441E7C">
            <w:pPr>
              <w:pStyle w:val="Tabellentext"/>
              <w:jc w:val="center"/>
              <w:rPr>
                <w:color w:val="FFFFFF" w:themeColor="background1"/>
                <w:lang w:val="de-AT"/>
              </w:rPr>
            </w:pPr>
            <w:r w:rsidRPr="009910E1">
              <w:rPr>
                <w:color w:val="FFFFFF" w:themeColor="background1"/>
                <w:lang w:val="de-AT"/>
              </w:rPr>
              <w:t>-2</w:t>
            </w:r>
          </w:p>
        </w:tc>
        <w:tc>
          <w:tcPr>
            <w:tcW w:w="2024" w:type="dxa"/>
            <w:vAlign w:val="center"/>
          </w:tcPr>
          <w:p w:rsidR="00CC09A4" w:rsidRPr="009910E1" w:rsidRDefault="00CC09A4" w:rsidP="00441E7C">
            <w:pPr>
              <w:pStyle w:val="Tabellentext"/>
              <w:jc w:val="center"/>
              <w:cnfStyle w:val="000000000000" w:firstRow="0" w:lastRow="0" w:firstColumn="0" w:lastColumn="0" w:oddVBand="0" w:evenVBand="0" w:oddHBand="0" w:evenHBand="0" w:firstRowFirstColumn="0" w:firstRowLastColumn="0" w:lastRowFirstColumn="0" w:lastRowLastColumn="0"/>
              <w:rPr>
                <w:color w:val="auto"/>
                <w:lang w:val="de-AT"/>
              </w:rPr>
            </w:pPr>
            <w:r w:rsidRPr="009910E1">
              <w:rPr>
                <w:color w:val="auto"/>
                <w:lang w:val="de-AT"/>
              </w:rPr>
              <w:t>kühl</w:t>
            </w:r>
          </w:p>
        </w:tc>
      </w:tr>
      <w:tr w:rsidR="00CC09A4" w:rsidTr="00441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7" w:type="dxa"/>
            <w:vAlign w:val="center"/>
          </w:tcPr>
          <w:p w:rsidR="00CC09A4" w:rsidRPr="009910E1" w:rsidRDefault="00CC09A4" w:rsidP="00441E7C">
            <w:pPr>
              <w:pStyle w:val="Tabellentext"/>
              <w:jc w:val="center"/>
              <w:rPr>
                <w:color w:val="FFFFFF" w:themeColor="background1"/>
                <w:lang w:val="de-AT"/>
              </w:rPr>
            </w:pPr>
            <w:r w:rsidRPr="009910E1">
              <w:rPr>
                <w:color w:val="FFFFFF" w:themeColor="background1"/>
                <w:lang w:val="de-AT"/>
              </w:rPr>
              <w:t>-3</w:t>
            </w:r>
          </w:p>
        </w:tc>
        <w:tc>
          <w:tcPr>
            <w:tcW w:w="2024" w:type="dxa"/>
            <w:vAlign w:val="center"/>
          </w:tcPr>
          <w:p w:rsidR="00CC09A4" w:rsidRPr="009910E1" w:rsidRDefault="00CC09A4" w:rsidP="00441E7C">
            <w:pPr>
              <w:pStyle w:val="Tabellentext"/>
              <w:jc w:val="center"/>
              <w:cnfStyle w:val="000000100000" w:firstRow="0" w:lastRow="0" w:firstColumn="0" w:lastColumn="0" w:oddVBand="0" w:evenVBand="0" w:oddHBand="1" w:evenHBand="0" w:firstRowFirstColumn="0" w:firstRowLastColumn="0" w:lastRowFirstColumn="0" w:lastRowLastColumn="0"/>
              <w:rPr>
                <w:color w:val="auto"/>
                <w:lang w:val="de-AT"/>
              </w:rPr>
            </w:pPr>
            <w:r w:rsidRPr="009910E1">
              <w:rPr>
                <w:color w:val="auto"/>
                <w:lang w:val="de-AT"/>
              </w:rPr>
              <w:t>kalt</w:t>
            </w:r>
          </w:p>
        </w:tc>
      </w:tr>
    </w:tbl>
    <w:p w:rsidR="00CC09A4" w:rsidRDefault="00CC09A4" w:rsidP="00CC09A4">
      <w:pPr>
        <w:pStyle w:val="Beschriftung"/>
      </w:pPr>
      <w:bookmarkStart w:id="8" w:name="_Ref373413551"/>
      <w:r>
        <w:t xml:space="preserve">Tabelle </w:t>
      </w:r>
      <w:r w:rsidR="0057391F">
        <w:fldChar w:fldCharType="begin"/>
      </w:r>
      <w:r w:rsidR="0057391F">
        <w:instrText xml:space="preserve"> SEQ Tabelle \* ARABIC </w:instrText>
      </w:r>
      <w:r w:rsidR="0057391F">
        <w:fldChar w:fldCharType="separate"/>
      </w:r>
      <w:r w:rsidR="00C10B8B">
        <w:rPr>
          <w:noProof/>
        </w:rPr>
        <w:t>2</w:t>
      </w:r>
      <w:r w:rsidR="0057391F">
        <w:rPr>
          <w:noProof/>
        </w:rPr>
        <w:fldChar w:fldCharType="end"/>
      </w:r>
      <w:bookmarkEnd w:id="8"/>
      <w:r>
        <w:t xml:space="preserve">: Klimabeurteilungsskala (vgl. </w:t>
      </w:r>
      <w:r>
        <w:fldChar w:fldCharType="begin"/>
      </w:r>
      <w:r>
        <w:instrText xml:space="preserve"> ADDIN EN.CITE &lt;EndNote&gt;&lt;Cite&gt;&lt;Author&gt;ÖNorm&lt;/Author&gt;&lt;Year&gt;2006&lt;/Year&gt;&lt;RecNum&gt;4951&lt;/RecNum&gt;&lt;DisplayText&gt;(ÖNorm, 2006)&lt;/DisplayText&gt;&lt;record&gt;&lt;rec-number&gt;4951&lt;/rec-number&gt;&lt;foreign-keys&gt;&lt;key app="EN" db-id="zxrx2rspbdeppzeza5fv0e03vdwxr5svazdr" timestamp="1363287804"&gt;4951&lt;/key&gt;&lt;/foreign-keys&gt;&lt;ref-type name="Journal Article"&gt;17&lt;/ref-type&gt;&lt;contributors&gt;&lt;authors&gt;&lt;author&gt;ÖNorm&lt;/author&gt;&lt;/authors&gt;&lt;/contributors&gt;&lt;titles&gt;&lt;title&gt;ÖNorm EN ISO 7730 Ergonomie der thermischen Umgebung - Analytische Bestimmung und Interpretation der thermischen Behaglichkeit durch Berechnung des PMV- und des PPD-Indexes und Kriterien der lokalen thermischen Behaglichkeit&amp;#xD;&lt;/title&gt;&lt;/titles&gt;&lt;dates&gt;&lt;year&gt;2006&lt;/year&gt;&lt;/dates&gt;&lt;urls&gt;&lt;/urls&gt;&lt;/record&gt;&lt;/Cite&gt;&lt;/EndNote&gt;</w:instrText>
      </w:r>
      <w:r>
        <w:fldChar w:fldCharType="separate"/>
      </w:r>
      <w:r>
        <w:rPr>
          <w:noProof/>
        </w:rPr>
        <w:t>(</w:t>
      </w:r>
      <w:hyperlink w:anchor="_ENREF_12" w:tooltip="ÖNorm, 2006 #4951" w:history="1">
        <w:r w:rsidR="00C64325">
          <w:rPr>
            <w:noProof/>
          </w:rPr>
          <w:t>ÖNorm, 2006</w:t>
        </w:r>
      </w:hyperlink>
      <w:r>
        <w:rPr>
          <w:noProof/>
        </w:rPr>
        <w:t>)</w:t>
      </w:r>
      <w:r>
        <w:fldChar w:fldCharType="end"/>
      </w:r>
      <w:r w:rsidRPr="00D157DC">
        <w:t>)</w:t>
      </w:r>
    </w:p>
    <w:p w:rsidR="00CC09A4" w:rsidRDefault="00CC09A4" w:rsidP="007848D9">
      <w:pPr>
        <w:pStyle w:val="berschrift6"/>
      </w:pPr>
      <w:bookmarkStart w:id="9" w:name="_Toc406418683"/>
      <w:r w:rsidRPr="007E0610">
        <w:t>Vorausgesagter Prozentsatz an Unzufriedenen (PPD)</w:t>
      </w:r>
      <w:bookmarkEnd w:id="9"/>
    </w:p>
    <w:p w:rsidR="00CC09A4" w:rsidRDefault="00CC09A4" w:rsidP="00CC09A4">
      <w:pPr>
        <w:jc w:val="both"/>
      </w:pPr>
      <w:r>
        <w:t>Das PMV sagt die durchschnittliche Komfortbeurteilung einer großen Gruppe von Personen voraus, die dem gleichen Umgebungsklima ausgesetzt sind. Einzelne Urteile streuen jedoch um diesen Mittelwert und es ist nützlich, die Anzahl der Personen voraussagen zu können, die das Umgebungsklima wahrscheinlich als zu warm oder zu kalt empfinden.</w:t>
      </w:r>
    </w:p>
    <w:p w:rsidR="00CC09A4" w:rsidRDefault="00CC09A4" w:rsidP="00CC09A4">
      <w:pPr>
        <w:jc w:val="both"/>
      </w:pPr>
      <w:r>
        <w:t xml:space="preserve">Der PPD ist ein Index, der eine quantitative Voraussage des Prozentsatzes der mit einem bestimmten Umgebungsklima unzufriedenen Personen darstellt, die es als zu kalt oder zu warm empfinden und nach der 7-stufigen Klimabeurteilungsskale in Tabelle 1 entweder mit heiß, warm, kühl oder kalt urteilen. </w:t>
      </w:r>
      <w:r>
        <w:fldChar w:fldCharType="begin"/>
      </w:r>
      <w:r>
        <w:instrText xml:space="preserve"> ADDIN EN.CITE &lt;EndNote&gt;&lt;Cite&gt;&lt;Author&gt;ÖNorm&lt;/Author&gt;&lt;Year&gt;2006&lt;/Year&gt;&lt;RecNum&gt;4951&lt;/RecNum&gt;&lt;DisplayText&gt;(ÖNorm, 2006)&lt;/DisplayText&gt;&lt;record&gt;&lt;rec-number&gt;4951&lt;/rec-number&gt;&lt;foreign-keys&gt;&lt;key app="EN" db-id="zxrx2rspbdeppzeza5fv0e03vdwxr5svazdr" timestamp="1363287804"&gt;4951&lt;/key&gt;&lt;/foreign-keys&gt;&lt;ref-type name="Journal Article"&gt;17&lt;/ref-type&gt;&lt;contributors&gt;&lt;authors&gt;&lt;author&gt;ÖNorm&lt;/author&gt;&lt;/authors&gt;&lt;/contributors&gt;&lt;titles&gt;&lt;title&gt;ÖNorm EN ISO 7730 Ergonomie der thermischen Umgebung - Analytische Bestimmung und Interpretation der thermischen Behaglichkeit durch Berechnung des PMV- und des PPD-Indexes und Kriterien der lokalen thermischen Behaglichkeit&amp;#xD;&lt;/title&gt;&lt;/titles&gt;&lt;dates&gt;&lt;year&gt;2006&lt;/year&gt;&lt;/dates&gt;&lt;urls&gt;&lt;/urls&gt;&lt;/record&gt;&lt;/Cite&gt;&lt;/EndNote&gt;</w:instrText>
      </w:r>
      <w:r>
        <w:fldChar w:fldCharType="separate"/>
      </w:r>
      <w:r>
        <w:rPr>
          <w:noProof/>
        </w:rPr>
        <w:t>(</w:t>
      </w:r>
      <w:hyperlink w:anchor="_ENREF_12" w:tooltip="ÖNorm, 2006 #4951" w:history="1">
        <w:r w:rsidR="00C64325">
          <w:rPr>
            <w:noProof/>
          </w:rPr>
          <w:t>ÖNorm, 2006</w:t>
        </w:r>
      </w:hyperlink>
      <w:r>
        <w:rPr>
          <w:noProof/>
        </w:rPr>
        <w:t>)</w:t>
      </w:r>
      <w:r>
        <w:fldChar w:fldCharType="end"/>
      </w:r>
    </w:p>
    <w:p w:rsidR="00CC09A4" w:rsidRPr="0057393B" w:rsidRDefault="00CC09A4" w:rsidP="00CC09A4">
      <w:pPr>
        <w:jc w:val="both"/>
      </w:pPr>
      <w:r w:rsidRPr="0057393B">
        <w:t>Die Beurteilung der Ergebnisse erfolgt differenziert nach Zeiträumen für das gesamte Jahr, Sommer und Winter sowie auf Monatsbasis.</w:t>
      </w:r>
    </w:p>
    <w:p w:rsidR="00555B63" w:rsidRDefault="007D1C24" w:rsidP="004E7D46">
      <w:pPr>
        <w:pStyle w:val="berschrift6"/>
      </w:pPr>
      <w:r>
        <w:t xml:space="preserve">Beispiele für die </w:t>
      </w:r>
      <w:r w:rsidR="00555B63">
        <w:t>Anforderungen an die thermische Behaglichkeit für unterschiedliche Umgebungskategorien und Raumarten (Anhang A – informativ)</w:t>
      </w:r>
    </w:p>
    <w:p w:rsidR="007D1C24" w:rsidRDefault="007D1C24" w:rsidP="004E7D46">
      <w:pPr>
        <w:pStyle w:val="berschrift7"/>
      </w:pPr>
      <w:r>
        <w:t>A1 Kategorien des Umgebungsklimas</w:t>
      </w:r>
    </w:p>
    <w:p w:rsidR="007D1C24" w:rsidRDefault="007D1C24" w:rsidP="007D1C24">
      <w:r>
        <w:t>Das gewünschte Umgebungsklima für einen Raum kann aus den drei in Tabelle A.1 angegebenen Kategorien A, B, und C ausgewählt werden. Alle Kriterien sollten für jede Kategorie zugleich erfüllt werden.</w:t>
      </w:r>
    </w:p>
    <w:p w:rsidR="007D1C24" w:rsidRDefault="007D1C24" w:rsidP="007D1C24">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3</w:t>
      </w:r>
      <w:r w:rsidR="0057391F">
        <w:rPr>
          <w:noProof/>
        </w:rPr>
        <w:fldChar w:fldCharType="end"/>
      </w:r>
      <w:r>
        <w:t>: Drei Kategorien des Umgebungsklimas (Tabelle A.1, Anhang A, ÖNorm EN ISO 7730)</w:t>
      </w:r>
    </w:p>
    <w:p w:rsidR="007D1C24" w:rsidRDefault="007D1C24" w:rsidP="007D1C24">
      <w:r>
        <w:rPr>
          <w:noProof/>
          <w:lang w:val="de-AT" w:eastAsia="de-AT"/>
        </w:rPr>
        <w:drawing>
          <wp:inline distT="0" distB="0" distL="0" distR="0" wp14:anchorId="2C981D3B" wp14:editId="3E55F03C">
            <wp:extent cx="5760085" cy="1819393"/>
            <wp:effectExtent l="0" t="0" r="0" b="952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0085" cy="1819393"/>
                    </a:xfrm>
                    <a:prstGeom prst="rect">
                      <a:avLst/>
                    </a:prstGeom>
                  </pic:spPr>
                </pic:pic>
              </a:graphicData>
            </a:graphic>
          </wp:inline>
        </w:drawing>
      </w:r>
      <w:r>
        <w:t xml:space="preserve"> </w:t>
      </w:r>
    </w:p>
    <w:p w:rsidR="007D1C24" w:rsidRDefault="007D1C24" w:rsidP="007D1C24">
      <w:pPr>
        <w:jc w:val="both"/>
      </w:pPr>
      <w:r>
        <w:t>Jede Kategorie schreibt einen maximalen Prozentsatz an Unzufriedenen für den gesamten Körper (PPD) und PD für jede der vier Arten der lokalen Unbehaglichkeit vor. Einige Anforderungen sind in der Praxis nur schwer umzusetzen, anderen hingegen sind leicht zu erfüllen. Die unterschiedlichen Prozentsätze veranschaulichen einen Ausgleich zwischen dem Ziel, wenige Unzufriedene zu erhalten, und dem, was mit der vorhandenen Technik möglich ist.</w:t>
      </w:r>
    </w:p>
    <w:p w:rsidR="007D1C24" w:rsidRDefault="007D1C24" w:rsidP="007D1C24">
      <w:pPr>
        <w:jc w:val="both"/>
      </w:pPr>
      <w:r>
        <w:t>Wegen der Genauigkeit der Instrumente zur Messung der Eingangsparameter kann es schwierig sein zu überprüfen, ob PMV der Klasse A-Kategorie (-0,2 &lt; PMV &lt; +0,2) entspricht. Stattdessen darf, wie in Abschnitt A.2 und in Tabelle A.5 angegeben, die Überprüfung auf dem äquivalenten operativen Temperaturbereich basieren.</w:t>
      </w:r>
    </w:p>
    <w:p w:rsidR="007D1C24" w:rsidRDefault="007D1C24" w:rsidP="007D1C24">
      <w:pPr>
        <w:jc w:val="both"/>
      </w:pPr>
      <w:r>
        <w:t>Die drei Kategorien in Tabelle A.1 gelten für Räume, in denen alle Personen demselben Umgebungsklima ausgesetzt sind. Es ist von Vorteil, für jede einzelne Person eine individuelle Regelungsmöglichkeit für das Umgebungsklima vorzusehen. Eine individuelle Regelung der lokalen Lufttemperatur, der mittleren Strahlungstemperatur oder der Luftgeschwindigkeit kann dazu beitragen, die großen Unterschiede zwischen individuellen Anforderungen auszugleichen und so zu weniger unzufriedenen zu führen.</w:t>
      </w:r>
    </w:p>
    <w:p w:rsidR="007D1C24" w:rsidRDefault="007D1C24" w:rsidP="007D1C24">
      <w:pPr>
        <w:jc w:val="both"/>
      </w:pPr>
      <w:r>
        <w:t>Eine Anpassung der Bekleidung kann ebenfalls zum Ausgleichen individueller Unterschiede beitragen. Die Wirkung, die ein Hinzufügen (oder Entfernen) von Kleidungsstücken auf die optimale operative Temperatur hat, ist in Tabelle C.2 angegeben.</w:t>
      </w:r>
    </w:p>
    <w:p w:rsidR="007D1C24" w:rsidRDefault="007D1C24" w:rsidP="004E7D46">
      <w:pPr>
        <w:pStyle w:val="berschrift7"/>
      </w:pPr>
      <w:r>
        <w:t>A.2 Bereich der operativen Temperatur</w:t>
      </w:r>
    </w:p>
    <w:p w:rsidR="007D1C24" w:rsidRDefault="007D1C24" w:rsidP="007D1C24">
      <w:pPr>
        <w:jc w:val="both"/>
      </w:pPr>
      <w:r>
        <w:t>In einem bestimmten Raum gibt es eine optimale operative Temperatur, die PMV = 0 entspricht und die von der Aktivität und der Bekleidung der Personen abhängig ist, die sich in dem Raum aufhalten. Abbildung A.1 zeigt für jede der drei  Kategorien die optimale Temperatur und den zulässigen Temperaturbereich als eine Funktion der Bekleidung und der Aktivität. Die optimale operative Temperatur ist für alle drei Kategorien gleich, der zulässige Bereich um die optimale operative Temperatur variiert jedoch.</w:t>
      </w:r>
    </w:p>
    <w:p w:rsidR="007D1C24" w:rsidRDefault="00BA73FD" w:rsidP="00BA73FD">
      <w:pPr>
        <w:jc w:val="both"/>
      </w:pPr>
      <w:r>
        <w:t>Die operative Temperatur an allen Punkten innerhalb des Raumbereichs, in dem sich Personen aufhalten, sollte stets innerhalb des zulässigen Bereichs liegen. Das bedeutet, dass der zulässige Bereich sowohl räumliche als auch zeitliche Schwankungen abdecken sollte, einschließlich Schwankungen, die durch das Regelungssystem entstehen.</w:t>
      </w:r>
    </w:p>
    <w:p w:rsidR="00BA73FD" w:rsidRDefault="00BA73FD" w:rsidP="00BA73FD">
      <w:pPr>
        <w:jc w:val="both"/>
      </w:pPr>
      <w:r>
        <w:t>Bild A.1 gilt für eine relative Luftfeuchte von 50 %; bei einem gemäßigten Umgebungsklima hat die Luftfeuchte jedoch nur einen geringen Einfluss auf das Wärmeempfinden. In der Regel wird eine um 10 % höhere relative Luftfeuchte als genauso warm empfunden wie eine um 0,3 °C höhere operative Temperatur.</w:t>
      </w:r>
    </w:p>
    <w:p w:rsidR="00BA73FD" w:rsidRDefault="00BA73FD" w:rsidP="00BA73FD">
      <w:pPr>
        <w:jc w:val="both"/>
      </w:pPr>
      <w:r>
        <w:t>Die PD in Tabelle A.1 sind nicht additiv. In der Praxis kann eine höhere oder geringere Anzahl an Unzufriedenen auftreten, wenn in Feldstudien subjektive Fragebögen genutzt werden (siehe ISO 10551).</w:t>
      </w:r>
    </w:p>
    <w:p w:rsidR="00BA73FD" w:rsidRDefault="00BA73FD" w:rsidP="00BA73FD">
      <w:pPr>
        <w:jc w:val="both"/>
      </w:pPr>
      <w:r>
        <w:t>Es wird eine Luftgeschwindigkeit von &lt; 0,1 ms</w:t>
      </w:r>
      <w:r>
        <w:rPr>
          <w:vertAlign w:val="superscript"/>
        </w:rPr>
        <w:t>-1</w:t>
      </w:r>
      <w:r>
        <w:t xml:space="preserve"> im Raum angenommen. Die relative Luftgeschwindigkeit, v</w:t>
      </w:r>
      <w:r w:rsidRPr="00BA73FD">
        <w:rPr>
          <w:vertAlign w:val="subscript"/>
        </w:rPr>
        <w:t>ar</w:t>
      </w:r>
      <w:r>
        <w:t xml:space="preserve">, die durch Bewegung des Körpers entsteht, wird bei einem Energieumsatz M kleiner 1 met und var = 0,3 (M-1) als null geschätzt. Die Diagramme gelten bei einer relativen Luftfeuchte von 50%; die Luftfeuchte hat jedoch nur einen geringen Einfluss auf den optimalen und den zulässigen Temperaturbereich. </w:t>
      </w:r>
    </w:p>
    <w:p w:rsidR="00BA73FD" w:rsidRDefault="00BA73FD" w:rsidP="004E7D46">
      <w:pPr>
        <w:pStyle w:val="berschrift7"/>
      </w:pPr>
      <w:r>
        <w:t>A.3 Lokale thermische Unbehaglichkeit</w:t>
      </w:r>
    </w:p>
    <w:p w:rsidR="00BA73FD" w:rsidRDefault="00BA73FD" w:rsidP="00BA73FD">
      <w:pPr>
        <w:jc w:val="both"/>
      </w:pPr>
      <w:r>
        <w:t>Bild A.2 zeigt für die drei Kategorien nach Tabelle A.1 Bereiche für die Parameter der lokalen thermischen Unbehaglichkeit an.</w:t>
      </w:r>
    </w:p>
    <w:p w:rsidR="00BA73FD" w:rsidRDefault="00BA73FD" w:rsidP="00BA73FD">
      <w:pPr>
        <w:jc w:val="both"/>
      </w:pPr>
      <w:r>
        <w:t>Die höchstzulässige mittlere Luftgeschwindigkeit ist eine Funktion der lokalen Lufttemperatur und des Turbulenzgrades. Der Turbulenzgrad darf in Räumen mit Mischstrom-Luftverteilung von 30 % bis 60 % schwanken. In Räumen mit Verdrängungslüftung oder ohne maschinelle Lüftung darf der Turbulenzgrad geringer sein.</w:t>
      </w:r>
    </w:p>
    <w:p w:rsidR="00BA73FD" w:rsidRDefault="00BA73FD" w:rsidP="000222A9">
      <w:pPr>
        <w:keepNext/>
        <w:jc w:val="center"/>
      </w:pPr>
      <w:r>
        <w:rPr>
          <w:noProof/>
          <w:lang w:val="de-AT" w:eastAsia="de-AT"/>
        </w:rPr>
        <w:drawing>
          <wp:inline distT="0" distB="0" distL="0" distR="0" wp14:anchorId="4EAE5EA0" wp14:editId="1270EF2D">
            <wp:extent cx="2880000" cy="2248641"/>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80000" cy="2248641"/>
                    </a:xfrm>
                    <a:prstGeom prst="rect">
                      <a:avLst/>
                    </a:prstGeom>
                  </pic:spPr>
                </pic:pic>
              </a:graphicData>
            </a:graphic>
          </wp:inline>
        </w:drawing>
      </w:r>
    </w:p>
    <w:p w:rsidR="00BA73FD" w:rsidRDefault="00BA73FD" w:rsidP="00BA73FD">
      <w:pPr>
        <w:pStyle w:val="Beschriftung"/>
        <w:jc w:val="both"/>
      </w:pPr>
      <w:r>
        <w:t xml:space="preserve">Abbildung </w:t>
      </w:r>
      <w:r w:rsidR="0057391F">
        <w:fldChar w:fldCharType="begin"/>
      </w:r>
      <w:r w:rsidR="0057391F">
        <w:instrText xml:space="preserve"> SEQ Abbildung \* ARABIC </w:instrText>
      </w:r>
      <w:r w:rsidR="0057391F">
        <w:fldChar w:fldCharType="separate"/>
      </w:r>
      <w:r w:rsidR="00C10B8B">
        <w:rPr>
          <w:noProof/>
        </w:rPr>
        <w:t>1</w:t>
      </w:r>
      <w:r w:rsidR="0057391F">
        <w:rPr>
          <w:noProof/>
        </w:rPr>
        <w:fldChar w:fldCharType="end"/>
      </w:r>
      <w:r>
        <w:t>:</w:t>
      </w:r>
      <w:r w:rsidRPr="00BA73FD">
        <w:t xml:space="preserve"> </w:t>
      </w:r>
      <w:r>
        <w:t>Kategorie A: PPD &lt; 6 %</w:t>
      </w:r>
    </w:p>
    <w:p w:rsidR="00BA73FD" w:rsidRDefault="00BA73FD" w:rsidP="000222A9">
      <w:pPr>
        <w:jc w:val="center"/>
      </w:pPr>
      <w:r>
        <w:rPr>
          <w:noProof/>
          <w:lang w:val="de-AT" w:eastAsia="de-AT"/>
        </w:rPr>
        <w:drawing>
          <wp:inline distT="0" distB="0" distL="0" distR="0" wp14:anchorId="18F4DE29" wp14:editId="04FB85A4">
            <wp:extent cx="2880000" cy="2139638"/>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880000" cy="2139638"/>
                    </a:xfrm>
                    <a:prstGeom prst="rect">
                      <a:avLst/>
                    </a:prstGeom>
                  </pic:spPr>
                </pic:pic>
              </a:graphicData>
            </a:graphic>
          </wp:inline>
        </w:drawing>
      </w:r>
    </w:p>
    <w:p w:rsidR="00BA73FD" w:rsidRDefault="00BA73FD" w:rsidP="00BA73FD">
      <w:pPr>
        <w:pStyle w:val="Beschriftung"/>
        <w:jc w:val="both"/>
      </w:pPr>
      <w:r>
        <w:t xml:space="preserve">Abbildung </w:t>
      </w:r>
      <w:r w:rsidR="0057391F">
        <w:fldChar w:fldCharType="begin"/>
      </w:r>
      <w:r w:rsidR="0057391F">
        <w:instrText xml:space="preserve"> SEQ Abbildung \* ARABIC </w:instrText>
      </w:r>
      <w:r w:rsidR="0057391F">
        <w:fldChar w:fldCharType="separate"/>
      </w:r>
      <w:r w:rsidR="00C10B8B">
        <w:rPr>
          <w:noProof/>
        </w:rPr>
        <w:t>2</w:t>
      </w:r>
      <w:r w:rsidR="0057391F">
        <w:rPr>
          <w:noProof/>
        </w:rPr>
        <w:fldChar w:fldCharType="end"/>
      </w:r>
      <w:r>
        <w:t>:</w:t>
      </w:r>
      <w:r w:rsidRPr="00BA73FD">
        <w:t xml:space="preserve"> </w:t>
      </w:r>
      <w:r>
        <w:t>Kategorie B: PPD &lt; 10 %</w:t>
      </w:r>
    </w:p>
    <w:p w:rsidR="00BA73FD" w:rsidRDefault="00BA73FD" w:rsidP="00BA73FD">
      <w:pPr>
        <w:jc w:val="both"/>
      </w:pPr>
    </w:p>
    <w:p w:rsidR="00BA73FD" w:rsidRDefault="00BA73FD" w:rsidP="000222A9">
      <w:pPr>
        <w:keepNext/>
        <w:jc w:val="center"/>
      </w:pPr>
      <w:r>
        <w:rPr>
          <w:noProof/>
          <w:lang w:val="de-AT" w:eastAsia="de-AT"/>
        </w:rPr>
        <w:drawing>
          <wp:inline distT="0" distB="0" distL="0" distR="0" wp14:anchorId="2EB9E171" wp14:editId="2C0A7D93">
            <wp:extent cx="2880000" cy="2067991"/>
            <wp:effectExtent l="0" t="0" r="0" b="889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880000" cy="2067991"/>
                    </a:xfrm>
                    <a:prstGeom prst="rect">
                      <a:avLst/>
                    </a:prstGeom>
                  </pic:spPr>
                </pic:pic>
              </a:graphicData>
            </a:graphic>
          </wp:inline>
        </w:drawing>
      </w:r>
    </w:p>
    <w:p w:rsidR="00BA73FD" w:rsidRDefault="00BA73FD" w:rsidP="00BA73FD">
      <w:pPr>
        <w:pStyle w:val="Beschriftung"/>
        <w:jc w:val="both"/>
      </w:pPr>
      <w:r>
        <w:t xml:space="preserve">Abbildung </w:t>
      </w:r>
      <w:r w:rsidR="0057391F">
        <w:fldChar w:fldCharType="begin"/>
      </w:r>
      <w:r w:rsidR="0057391F">
        <w:instrText xml:space="preserve"> SEQ Abbildung \* ARABIC </w:instrText>
      </w:r>
      <w:r w:rsidR="0057391F">
        <w:fldChar w:fldCharType="separate"/>
      </w:r>
      <w:r w:rsidR="00C10B8B">
        <w:rPr>
          <w:noProof/>
        </w:rPr>
        <w:t>3</w:t>
      </w:r>
      <w:r w:rsidR="0057391F">
        <w:rPr>
          <w:noProof/>
        </w:rPr>
        <w:fldChar w:fldCharType="end"/>
      </w:r>
      <w:r>
        <w:t>: Kategorie C: PPD &lt; 15 %</w:t>
      </w:r>
    </w:p>
    <w:p w:rsidR="00BA73FD" w:rsidRDefault="00BA73FD" w:rsidP="00BA73FD">
      <w:pPr>
        <w:jc w:val="both"/>
      </w:pPr>
      <w:r>
        <w:t xml:space="preserve">Die Diagramme zeigen für die drei Kategorien den Bereich </w:t>
      </w:r>
      <w:r w:rsidR="009A0C06">
        <w:t>um die optimale Temperatur.</w:t>
      </w:r>
    </w:p>
    <w:p w:rsidR="009A0C06" w:rsidRDefault="009A0C06" w:rsidP="00BA73FD">
      <w:pPr>
        <w:jc w:val="both"/>
      </w:pPr>
      <w:r>
        <w:rPr>
          <w:noProof/>
          <w:lang w:val="de-AT" w:eastAsia="de-AT"/>
        </w:rPr>
        <w:drawing>
          <wp:inline distT="0" distB="0" distL="0" distR="0" wp14:anchorId="750F8463" wp14:editId="32ED3C20">
            <wp:extent cx="3419475" cy="1008829"/>
            <wp:effectExtent l="0" t="0" r="0" b="127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427373" cy="1011159"/>
                    </a:xfrm>
                    <a:prstGeom prst="rect">
                      <a:avLst/>
                    </a:prstGeom>
                  </pic:spPr>
                </pic:pic>
              </a:graphicData>
            </a:graphic>
          </wp:inline>
        </w:drawing>
      </w:r>
    </w:p>
    <w:p w:rsidR="009A0C06" w:rsidRDefault="009A0C06" w:rsidP="000222A9">
      <w:pPr>
        <w:keepNext/>
        <w:jc w:val="center"/>
      </w:pPr>
      <w:r>
        <w:rPr>
          <w:noProof/>
          <w:lang w:val="de-AT" w:eastAsia="de-AT"/>
        </w:rPr>
        <w:drawing>
          <wp:inline distT="0" distB="0" distL="0" distR="0" wp14:anchorId="148D9953" wp14:editId="173FC30C">
            <wp:extent cx="5040000" cy="2768625"/>
            <wp:effectExtent l="0" t="0" r="825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040000" cy="2768625"/>
                    </a:xfrm>
                    <a:prstGeom prst="rect">
                      <a:avLst/>
                    </a:prstGeom>
                  </pic:spPr>
                </pic:pic>
              </a:graphicData>
            </a:graphic>
          </wp:inline>
        </w:drawing>
      </w:r>
    </w:p>
    <w:p w:rsidR="009A0C06" w:rsidRDefault="009A0C06" w:rsidP="009A0C06">
      <w:pPr>
        <w:pStyle w:val="Beschriftung"/>
        <w:jc w:val="both"/>
      </w:pPr>
      <w:r>
        <w:t xml:space="preserve">Abbildung </w:t>
      </w:r>
      <w:r w:rsidR="0057391F">
        <w:fldChar w:fldCharType="begin"/>
      </w:r>
      <w:r w:rsidR="0057391F">
        <w:instrText xml:space="preserve"> SEQ Abbildung \* ARABIC </w:instrText>
      </w:r>
      <w:r w:rsidR="0057391F">
        <w:fldChar w:fldCharType="separate"/>
      </w:r>
      <w:r w:rsidR="00C10B8B">
        <w:rPr>
          <w:noProof/>
        </w:rPr>
        <w:t>4</w:t>
      </w:r>
      <w:r w:rsidR="0057391F">
        <w:rPr>
          <w:noProof/>
        </w:rPr>
        <w:fldChar w:fldCharType="end"/>
      </w:r>
      <w:r>
        <w:t>: Höchstzulässige mittlere Luftgeschwindigkeit als Funktion der Lufttemperatur und des Turbulenzgrades vor Ort</w:t>
      </w:r>
    </w:p>
    <w:p w:rsidR="009A0C06" w:rsidRDefault="009A0C06" w:rsidP="009A0C06">
      <w:r>
        <w:t>Die Tabellen A.2, A.3 und A.4 enthalten Werte für die lokale Unbehaglichkeit durch vertikalen Temperaturunterschied, warmer/kalter Boden und Strahlungsasymmetrie.</w:t>
      </w:r>
    </w:p>
    <w:p w:rsidR="009A0C06" w:rsidRDefault="009A0C06" w:rsidP="009A0C06">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4</w:t>
      </w:r>
      <w:r w:rsidR="0057391F">
        <w:rPr>
          <w:noProof/>
        </w:rPr>
        <w:fldChar w:fldCharType="end"/>
      </w:r>
      <w:r>
        <w:t>: A.2 Vertikaler Lufttemperaturunterschied zwischen Kopf und Fußgelenken</w:t>
      </w:r>
    </w:p>
    <w:p w:rsidR="009A0C06" w:rsidRDefault="009A0C06" w:rsidP="000222A9">
      <w:pPr>
        <w:jc w:val="center"/>
      </w:pPr>
      <w:r>
        <w:rPr>
          <w:noProof/>
          <w:lang w:val="de-AT" w:eastAsia="de-AT"/>
        </w:rPr>
        <w:drawing>
          <wp:inline distT="0" distB="0" distL="0" distR="0" wp14:anchorId="16DE1960" wp14:editId="44FE19FE">
            <wp:extent cx="2880000" cy="1151877"/>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880000" cy="1151877"/>
                    </a:xfrm>
                    <a:prstGeom prst="rect">
                      <a:avLst/>
                    </a:prstGeom>
                  </pic:spPr>
                </pic:pic>
              </a:graphicData>
            </a:graphic>
          </wp:inline>
        </w:drawing>
      </w:r>
    </w:p>
    <w:p w:rsidR="009A0C06" w:rsidRDefault="009A0C06" w:rsidP="009A0C06">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5</w:t>
      </w:r>
      <w:r w:rsidR="0057391F">
        <w:rPr>
          <w:noProof/>
        </w:rPr>
        <w:fldChar w:fldCharType="end"/>
      </w:r>
      <w:r>
        <w:t>: A.3 - Fußbodentemperaturbereich</w:t>
      </w:r>
    </w:p>
    <w:p w:rsidR="009A0C06" w:rsidRDefault="009A0C06" w:rsidP="000222A9">
      <w:pPr>
        <w:jc w:val="center"/>
      </w:pPr>
      <w:r>
        <w:rPr>
          <w:noProof/>
          <w:lang w:val="de-AT" w:eastAsia="de-AT"/>
        </w:rPr>
        <w:drawing>
          <wp:inline distT="0" distB="0" distL="0" distR="0" wp14:anchorId="2904D051" wp14:editId="6D1DD414">
            <wp:extent cx="2880000" cy="1056041"/>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880000" cy="1056041"/>
                    </a:xfrm>
                    <a:prstGeom prst="rect">
                      <a:avLst/>
                    </a:prstGeom>
                  </pic:spPr>
                </pic:pic>
              </a:graphicData>
            </a:graphic>
          </wp:inline>
        </w:drawing>
      </w:r>
    </w:p>
    <w:p w:rsidR="009A0C06" w:rsidRDefault="009A0C06" w:rsidP="009A0C06">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6</w:t>
      </w:r>
      <w:r w:rsidR="0057391F">
        <w:rPr>
          <w:noProof/>
        </w:rPr>
        <w:fldChar w:fldCharType="end"/>
      </w:r>
      <w:r>
        <w:t>: Asymmetrie der Strahlungstemperatur</w:t>
      </w:r>
    </w:p>
    <w:p w:rsidR="009A0C06" w:rsidRDefault="009A0C06" w:rsidP="000222A9">
      <w:pPr>
        <w:jc w:val="center"/>
      </w:pPr>
      <w:r>
        <w:rPr>
          <w:noProof/>
          <w:lang w:val="de-AT" w:eastAsia="de-AT"/>
        </w:rPr>
        <w:drawing>
          <wp:inline distT="0" distB="0" distL="0" distR="0" wp14:anchorId="69AD1AB3" wp14:editId="72926F1C">
            <wp:extent cx="3419475" cy="1173150"/>
            <wp:effectExtent l="0" t="0" r="0" b="825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431401" cy="1177242"/>
                    </a:xfrm>
                    <a:prstGeom prst="rect">
                      <a:avLst/>
                    </a:prstGeom>
                  </pic:spPr>
                </pic:pic>
              </a:graphicData>
            </a:graphic>
          </wp:inline>
        </w:drawing>
      </w:r>
    </w:p>
    <w:p w:rsidR="009A0C06" w:rsidRDefault="009A0C06" w:rsidP="009A0C06">
      <w:r>
        <w:t>A.4 Gestaltungskriterien für unterschiedliche Raumarten – Beispiele</w:t>
      </w:r>
    </w:p>
    <w:p w:rsidR="009A0C06" w:rsidRDefault="009A0C06" w:rsidP="009A0C06">
      <w:pPr>
        <w:jc w:val="both"/>
      </w:pPr>
      <w:r>
        <w:t>Die in Tabelle A.5 festgelegten Gestaltungskriterien werden unter bestimmten Annahmen abgeleitet. Beim Umgebungsklima beruhen die Kriterien für die operative Temperatur auf üblichen Tätigkeitsgraden, die in Tabelle A.5 für eine Bekleidung von 0,5 clo im Sommer (Kühlungsperiode) und 1,0 clo im Winter (Heizperiode) angegeben sind. Die Kriterien für die mittlere Luftgeschwindigkeit gelten für einen Turbulenzgrad von etwa 40 % (Mischlüftung). Die Gestaltungskriterien gelten für die gegebenen Belegungsbedingungen, können aber auch für weitere Raumarten mit ähnlicher Nutzung wie die in der Tabelle angegebenen Räume anwendbar sein.</w:t>
      </w:r>
    </w:p>
    <w:p w:rsidR="009A0C06" w:rsidRDefault="009A0C06" w:rsidP="009A0C06">
      <w:pPr>
        <w:pStyle w:val="Beschriftung"/>
        <w:keepNext/>
        <w:jc w:val="both"/>
      </w:pPr>
      <w:r>
        <w:t xml:space="preserve">Tabelle </w:t>
      </w:r>
      <w:r w:rsidR="0057391F">
        <w:fldChar w:fldCharType="begin"/>
      </w:r>
      <w:r w:rsidR="0057391F">
        <w:instrText xml:space="preserve"> SEQ Tabelle \* ARABIC </w:instrText>
      </w:r>
      <w:r w:rsidR="0057391F">
        <w:fldChar w:fldCharType="separate"/>
      </w:r>
      <w:r w:rsidR="00C10B8B">
        <w:rPr>
          <w:noProof/>
        </w:rPr>
        <w:t>7</w:t>
      </w:r>
      <w:r w:rsidR="0057391F">
        <w:rPr>
          <w:noProof/>
        </w:rPr>
        <w:fldChar w:fldCharType="end"/>
      </w:r>
      <w:r>
        <w:t>: A.5 - Beispiele für Gestaltungskriterien für Räume in unterschiedlichen Gebäudetypen</w:t>
      </w:r>
    </w:p>
    <w:p w:rsidR="009A0C06" w:rsidRPr="009A0C06" w:rsidRDefault="009A0C06" w:rsidP="000222A9">
      <w:pPr>
        <w:jc w:val="center"/>
      </w:pPr>
      <w:r>
        <w:rPr>
          <w:noProof/>
          <w:lang w:val="de-AT" w:eastAsia="de-AT"/>
        </w:rPr>
        <w:drawing>
          <wp:inline distT="0" distB="0" distL="0" distR="0" wp14:anchorId="11FAF8D3" wp14:editId="46BE2FCA">
            <wp:extent cx="5040000" cy="3664529"/>
            <wp:effectExtent l="0" t="0" r="825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040000" cy="3664529"/>
                    </a:xfrm>
                    <a:prstGeom prst="rect">
                      <a:avLst/>
                    </a:prstGeom>
                  </pic:spPr>
                </pic:pic>
              </a:graphicData>
            </a:graphic>
          </wp:inline>
        </w:drawing>
      </w:r>
    </w:p>
    <w:p w:rsidR="00555B63" w:rsidRPr="00555B63" w:rsidRDefault="00555B63" w:rsidP="004E7D46">
      <w:pPr>
        <w:pStyle w:val="berschrift6"/>
      </w:pPr>
      <w:r>
        <w:t>Langzeitbewertung der allgemeinen thermischen Behaglichkeit (Anhang H informativ)</w:t>
      </w:r>
    </w:p>
    <w:p w:rsidR="007D1C24" w:rsidRDefault="007D1C24" w:rsidP="007D1C24">
      <w:pPr>
        <w:jc w:val="both"/>
      </w:pPr>
      <w:r>
        <w:t>Um die Komfortbedingungen über einen längeren Zeitraum (Jahreszeit, Jahr) zu ermitteln, müssen die Parameter auf der Basis der gemessenen Daten in realen Gebäuden oder einer dynamischen Computersimulation zusammengefasst werden. Dieser Anhang enthält fünf Verfahren, von denen jedes zu diesem Zweck angewendet werden kann.</w:t>
      </w:r>
    </w:p>
    <w:p w:rsidR="007D1C24" w:rsidRDefault="007D1C24" w:rsidP="007D1C24">
      <w:pPr>
        <w:pStyle w:val="berschrift7"/>
      </w:pPr>
      <w:r>
        <w:t>Verfahren A</w:t>
      </w:r>
    </w:p>
    <w:p w:rsidR="007D1C24" w:rsidRDefault="007D1C24" w:rsidP="007D1C24">
      <w:pPr>
        <w:jc w:val="both"/>
      </w:pPr>
      <w:r>
        <w:t>Die Anzahl bzw. der prozentuale Anteil der Stunden, von den Stunden, in denen das Gebäude benutzt wird, in denen das PMV oder die operative Temperatur außerhalb des festgelegten Bereiches liegt, ist zu berechnen.</w:t>
      </w:r>
    </w:p>
    <w:p w:rsidR="007D1C24" w:rsidRDefault="007D1C24" w:rsidP="007D1C24">
      <w:pPr>
        <w:pStyle w:val="berschrift7"/>
      </w:pPr>
      <w:r>
        <w:t>Verfahren B</w:t>
      </w:r>
    </w:p>
    <w:p w:rsidR="007D1C24" w:rsidRDefault="007D1C24" w:rsidP="007D1C24">
      <w:pPr>
        <w:jc w:val="both"/>
      </w:pPr>
      <w:r>
        <w:t>Die Zeit während der die tatsächliche operative Temperatur den festgelegten Bereich während der benutzten Stunden überschreitet, wird mit einem Faktor gewichtet, der davon abhängig ist, um wie viel Grad der Bereich überschritten wurde.</w:t>
      </w:r>
    </w:p>
    <w:p w:rsidR="007D1C24" w:rsidRDefault="007D1C24" w:rsidP="007D1C24">
      <w:r>
        <w:rPr>
          <w:noProof/>
          <w:lang w:val="de-AT" w:eastAsia="de-AT"/>
        </w:rPr>
        <w:drawing>
          <wp:inline distT="0" distB="0" distL="0" distR="0" wp14:anchorId="2D45172E" wp14:editId="4E970C10">
            <wp:extent cx="5760085" cy="3758201"/>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60085" cy="3758201"/>
                    </a:xfrm>
                    <a:prstGeom prst="rect">
                      <a:avLst/>
                    </a:prstGeom>
                  </pic:spPr>
                </pic:pic>
              </a:graphicData>
            </a:graphic>
          </wp:inline>
        </w:drawing>
      </w:r>
    </w:p>
    <w:p w:rsidR="007D1C24" w:rsidRDefault="007D1C24" w:rsidP="007D1C24">
      <w:pPr>
        <w:pStyle w:val="berschrift7"/>
      </w:pPr>
      <w:r>
        <w:t>Verfahren C</w:t>
      </w:r>
    </w:p>
    <w:p w:rsidR="007D1C24" w:rsidRDefault="007D1C24" w:rsidP="007D1C24">
      <w:pPr>
        <w:jc w:val="both"/>
      </w:pPr>
      <w:r>
        <w:t>Die Zeit, während der das tatsächliche PMV die Behaglichkeitsgrenzen überschreitet, wird mit einem Faktor gewichtet, der eine Funktion des PPD ist. Ausgehend von einer PMV-Verteilung auf Jahresbasis und der Beziehung zwischen PMV und PPD wird folgende Berechnung durchgeführt:</w:t>
      </w:r>
    </w:p>
    <w:p w:rsidR="007D1C24" w:rsidRDefault="007D1C24" w:rsidP="007D1C24">
      <w:r>
        <w:rPr>
          <w:noProof/>
          <w:lang w:val="de-AT" w:eastAsia="de-AT"/>
        </w:rPr>
        <w:drawing>
          <wp:inline distT="0" distB="0" distL="0" distR="0" wp14:anchorId="13B69F2D" wp14:editId="60054143">
            <wp:extent cx="5760085" cy="4221164"/>
            <wp:effectExtent l="0" t="0" r="0" b="825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0085" cy="4221164"/>
                    </a:xfrm>
                    <a:prstGeom prst="rect">
                      <a:avLst/>
                    </a:prstGeom>
                  </pic:spPr>
                </pic:pic>
              </a:graphicData>
            </a:graphic>
          </wp:inline>
        </w:drawing>
      </w:r>
    </w:p>
    <w:p w:rsidR="007D1C24" w:rsidRDefault="007D1C24" w:rsidP="007D1C24">
      <w:pPr>
        <w:pStyle w:val="berschrift7"/>
      </w:pPr>
      <w:r>
        <w:t>Verfahren D</w:t>
      </w:r>
    </w:p>
    <w:p w:rsidR="007D1C24" w:rsidRDefault="007D1C24" w:rsidP="007D1C24">
      <w:r>
        <w:t>Es wird der mittlere PPD über eine Zeitspanne während der benutzten Zeiten hinweg berechnet.</w:t>
      </w:r>
    </w:p>
    <w:p w:rsidR="007D1C24" w:rsidRDefault="007D1C24" w:rsidP="007D1C24">
      <w:pPr>
        <w:pStyle w:val="berschrift7"/>
      </w:pPr>
      <w:r>
        <w:t>Verfahren E</w:t>
      </w:r>
    </w:p>
    <w:p w:rsidR="007D1C24" w:rsidRPr="00555B63" w:rsidRDefault="007D1C24" w:rsidP="007D1C24">
      <w:r>
        <w:t>Summierung des PPD über eine Zeitspanne während der benutzen Zeiten hinweg.</w:t>
      </w:r>
    </w:p>
    <w:p w:rsidR="00825B6F" w:rsidRDefault="00825B6F" w:rsidP="00825B6F">
      <w:pPr>
        <w:pStyle w:val="berschrift5"/>
      </w:pPr>
      <w:r>
        <w:t>DIN EN 15757 Erhaltung des kulturellen Erbes – Festlegungen für Temperatur und relative Luftfeuchte zur Begrenzung klimabedingter mechanischer Beschädigungen an organischen hygroskopischen Materialie</w:t>
      </w:r>
      <w:r w:rsidRPr="00825B6F">
        <w:t xml:space="preserve">n </w:t>
      </w:r>
      <w:r w:rsidRPr="00825B6F">
        <w:fldChar w:fldCharType="begin"/>
      </w:r>
      <w:r w:rsidRPr="00825B6F">
        <w:instrText xml:space="preserve"> ADDIN EN.CITE &lt;EndNote&gt;&lt;Cite&gt;&lt;Author&gt;DIN&lt;/Author&gt;&lt;Year&gt;2010&lt;/Year&gt;&lt;RecNum&gt;6368&lt;/RecNum&gt;&lt;DisplayText&gt;(DIN, 2010)&lt;/DisplayText&gt;&lt;record&gt;&lt;rec-number&gt;6368&lt;/rec-number&gt;&lt;foreign-keys&gt;&lt;key app="EN" db-id="zxrx2rspbdeppzeza5fv0e03vdwxr5svazdr" timestamp="1393856358"&gt;6368&lt;/key&gt;&lt;key app="ENWeb" db-id=""&gt;0&lt;/key&gt;&lt;/foreign-keys&gt;&lt;ref-type name="Journal Article"&gt;17&lt;/ref-type&gt;&lt;contributors&gt;&lt;authors&gt;&lt;author&gt;DIN&lt;/author&gt;&lt;/authors&gt;&lt;/contributors&gt;&lt;titles&gt;&lt;title&gt;DIN EN 15757 Erhaltung des kulturellen Erbes – Festlegungen für Temperatur und relative Luftfeuchte zur Begrenzung klimabedingter mechanischer Beschädigungen an organischen hygroskopischen Materialien&lt;/title&gt;&lt;/titles&gt;&lt;dates&gt;&lt;year&gt;2010&lt;/year&gt;&lt;/dates&gt;&lt;urls&gt;&lt;/urls&gt;&lt;/record&gt;&lt;/Cite&gt;&lt;/EndNote&gt;</w:instrText>
      </w:r>
      <w:r w:rsidRPr="00825B6F">
        <w:fldChar w:fldCharType="separate"/>
      </w:r>
      <w:r w:rsidRPr="00825B6F">
        <w:rPr>
          <w:noProof/>
        </w:rPr>
        <w:t>(</w:t>
      </w:r>
      <w:hyperlink w:anchor="_ENREF_2" w:tooltip="DIN, 2010 #6368" w:history="1">
        <w:r w:rsidR="00C64325" w:rsidRPr="00825B6F">
          <w:rPr>
            <w:noProof/>
          </w:rPr>
          <w:t>DIN, 2010</w:t>
        </w:r>
      </w:hyperlink>
      <w:r w:rsidRPr="00825B6F">
        <w:rPr>
          <w:noProof/>
        </w:rPr>
        <w:t>)</w:t>
      </w:r>
      <w:r w:rsidRPr="00825B6F">
        <w:fldChar w:fldCharType="end"/>
      </w:r>
    </w:p>
    <w:p w:rsidR="00825B6F" w:rsidRDefault="00825B6F" w:rsidP="00A40C67">
      <w:pPr>
        <w:pStyle w:val="berschrift6"/>
      </w:pPr>
      <w:r>
        <w:t>Einleitung</w:t>
      </w:r>
    </w:p>
    <w:p w:rsidR="00825B6F" w:rsidRDefault="00825B6F" w:rsidP="00693E8F">
      <w:pPr>
        <w:jc w:val="both"/>
      </w:pPr>
      <w:r>
        <w:t>Diese Europäische Norm ist eine Leitlinie, die die Lufttemperatur (T) und die relative Luftfeuchte (RH) festlegt, um Kulturgut durch Begrenzung der durch Spannungs-Dehnungs-Zyklen verursachten physikalischen</w:t>
      </w:r>
      <w:r w:rsidR="00AF39CD">
        <w:t xml:space="preserve"> </w:t>
      </w:r>
      <w:r>
        <w:t>Beschädigungen an Objekten, die organische hygroskopische Materialien enthalten, zu erhalten. Diese</w:t>
      </w:r>
      <w:r w:rsidR="00AF39CD">
        <w:t xml:space="preserve"> </w:t>
      </w:r>
      <w:r>
        <w:t>Kategorie von Objekten umfasst unter anderem hölzerne Gegenstände und Bauelemente wie Böden, Türen,</w:t>
      </w:r>
      <w:r w:rsidR="00AF39CD">
        <w:t xml:space="preserve"> </w:t>
      </w:r>
      <w:r>
        <w:t>Täfelung und Dachbalken, Gemälde, Bücher, grafische Dokumente, Textilien, beinerne Objekte sowie Objekte</w:t>
      </w:r>
      <w:r w:rsidR="00AF39CD">
        <w:t xml:space="preserve"> </w:t>
      </w:r>
      <w:r>
        <w:t>aus Elfenbein oder Leder. Objekte können aus mehreren hygroskopischen Materialien bestehen und</w:t>
      </w:r>
      <w:r w:rsidR="00AF39CD">
        <w:t xml:space="preserve"> </w:t>
      </w:r>
      <w:r>
        <w:t>unterschiedliche Materialarten können gemeinsam verwendet werden. Sie sind in unterschiedlichem Maße</w:t>
      </w:r>
      <w:r w:rsidR="00AF39CD">
        <w:t xml:space="preserve"> </w:t>
      </w:r>
      <w:r>
        <w:t>anfällig für Veränderungen und Schwankungen der relativen Luftfeuchte der Umgebung, die Veränderungen</w:t>
      </w:r>
      <w:r w:rsidR="00AF39CD">
        <w:t xml:space="preserve"> </w:t>
      </w:r>
      <w:r>
        <w:t>im Gleichgewichtsfeuchtegehalt der Materialien hervorrufen können, wenn sie zur Anpassung an die sich</w:t>
      </w:r>
      <w:r w:rsidR="00AF39CD">
        <w:t xml:space="preserve"> </w:t>
      </w:r>
      <w:r>
        <w:t>fortlaufend verändernden Umgebungsbedingungen Feuchtigkeit adsorbieren und abgeben. Die</w:t>
      </w:r>
      <w:r w:rsidR="00AF39CD">
        <w:t xml:space="preserve"> </w:t>
      </w:r>
      <w:r>
        <w:t>Schwankungen des Gleichgewichtsfeuchtegehalts bewirken Maßänderungen der Materialien, die zu hohen</w:t>
      </w:r>
      <w:r w:rsidR="00AF39CD">
        <w:t xml:space="preserve"> </w:t>
      </w:r>
      <w:r>
        <w:t>Dehnungswerten sowie physikalischer Beschädigung wie Bruch oder Verformung führen können.</w:t>
      </w:r>
      <w:r w:rsidR="00AF39CD">
        <w:t xml:space="preserve"> </w:t>
      </w:r>
      <w:r>
        <w:t>Für die Objekte, die organische hygroskopische Materialien enthalten, sind für den einzelnen Fall bestimmte</w:t>
      </w:r>
      <w:r w:rsidR="00AF39CD">
        <w:t xml:space="preserve"> </w:t>
      </w:r>
      <w:r>
        <w:t>Werte und Bereiche der Temperatur und der Luftfeuchte erforderlich, da sie sich im Allgemeinen in den</w:t>
      </w:r>
      <w:r w:rsidR="00AF39CD">
        <w:t xml:space="preserve"> </w:t>
      </w:r>
      <w:r>
        <w:t>Umgebungen akklimatisiert haben, denen sie über wesentliche Zeiträume ausgesetzt waren. Da im Laufe der</w:t>
      </w:r>
      <w:r w:rsidR="00AF39CD">
        <w:t xml:space="preserve"> </w:t>
      </w:r>
      <w:r>
        <w:t>Zeit die Temperatur- und RH-Schwankungen zu inneren Dehnungen führen, die ausreichen, um Risse zu</w:t>
      </w:r>
      <w:r w:rsidR="00AF39CD">
        <w:t xml:space="preserve"> </w:t>
      </w:r>
      <w:r>
        <w:t>verursachen, öffnen und schließen sich diese Risse als Dehnungsfugen, wodurch der Bereich der zulässigen</w:t>
      </w:r>
      <w:r w:rsidR="00AF39CD">
        <w:t xml:space="preserve"> </w:t>
      </w:r>
      <w:r>
        <w:t>Temperatur- und RH-Schwankungen erweitert wird. Das Material wird als „akklimatisiert“ bezeichnet, da es</w:t>
      </w:r>
      <w:r w:rsidR="00AF39CD">
        <w:t xml:space="preserve"> </w:t>
      </w:r>
      <w:r>
        <w:t>nun anders auf die atmosphärischen Bedingungen reagiert. Allerdings sollte diese Akklimatisierung nicht als</w:t>
      </w:r>
      <w:r w:rsidR="00AF39CD">
        <w:t xml:space="preserve"> </w:t>
      </w:r>
      <w:r>
        <w:t>positiver Faktor angesehen werden, da sie durch interne Rissbildung verursacht ist und damit eigentlich eine</w:t>
      </w:r>
      <w:r w:rsidR="00AF39CD">
        <w:t xml:space="preserve"> </w:t>
      </w:r>
      <w:r>
        <w:t>Art von Beschädigung darstellt. Der damit verbundene Verlust an historischem und ästhetischem aber auch</w:t>
      </w:r>
      <w:r w:rsidR="00AF39CD">
        <w:t xml:space="preserve"> </w:t>
      </w:r>
      <w:r>
        <w:t>an finanziellem Wert hängt von dem Ausmaß und der Lage des Risses ab.</w:t>
      </w:r>
    </w:p>
    <w:p w:rsidR="00825B6F" w:rsidRDefault="00825B6F" w:rsidP="00693E8F">
      <w:pPr>
        <w:jc w:val="both"/>
      </w:pPr>
      <w:r>
        <w:t>Die Bestimmung der für die Erhaltung optimalen Bereiche von Lufttemperatur und relativer Luftfeuchte ist</w:t>
      </w:r>
      <w:r w:rsidR="00AF39CD">
        <w:t xml:space="preserve"> </w:t>
      </w:r>
      <w:r>
        <w:t>aufgrund der Vielfalt und Komplexität der Materialien, die die Gegenstände umfassen, nicht einfach. Die</w:t>
      </w:r>
      <w:r w:rsidR="00AF39CD">
        <w:t xml:space="preserve"> </w:t>
      </w:r>
      <w:r>
        <w:t>Temperatur hat einen direkten Einfluss auf die Erhaltung; da sie die relative Luftfeuchte der Luft regelt, hat sie</w:t>
      </w:r>
      <w:r w:rsidR="00AF39CD">
        <w:t xml:space="preserve"> </w:t>
      </w:r>
      <w:r>
        <w:t>jedoch auch einen indirekten Einfluss. Die Änderungen und Schwankungen der Temperatur und der relativen</w:t>
      </w:r>
      <w:r w:rsidR="00AF39CD">
        <w:t xml:space="preserve"> </w:t>
      </w:r>
      <w:r>
        <w:t>Luftfeuchte sollten nicht nur vom statischen Blickwinkel in Bezug auf die zulässigen Werte oder Bereiche,</w:t>
      </w:r>
      <w:r w:rsidR="00AF39CD">
        <w:t xml:space="preserve"> </w:t>
      </w:r>
      <w:r>
        <w:t>sondern auch vom dynamischen Blickwinkel aus betrachtet werden, d. h. die Geschwindigkeit der</w:t>
      </w:r>
      <w:r w:rsidR="00AF39CD">
        <w:t xml:space="preserve"> </w:t>
      </w:r>
      <w:r>
        <w:t>Veränderungen, die Dauer der Zyklen und die Häufigkeit, mit der sich die Zyklen wiederholen, sollten</w:t>
      </w:r>
      <w:r w:rsidR="00AF39CD">
        <w:t xml:space="preserve"> </w:t>
      </w:r>
      <w:r>
        <w:t>berücksichtigt werden.</w:t>
      </w:r>
    </w:p>
    <w:p w:rsidR="00825B6F" w:rsidRDefault="00825B6F" w:rsidP="00693E8F">
      <w:pPr>
        <w:jc w:val="both"/>
      </w:pPr>
      <w:r>
        <w:t>Dieser Abbau hat häufig kumulativen Charakter und kann durch die Anzahl und Intensität der einzelnen</w:t>
      </w:r>
      <w:r w:rsidR="00AF39CD">
        <w:t xml:space="preserve"> </w:t>
      </w:r>
      <w:r>
        <w:t>Umweltgefährdungen verstärkt werden. Änderungen und Schwankungen der Lufttemperatur und der relativen</w:t>
      </w:r>
      <w:r w:rsidR="00AF39CD">
        <w:t xml:space="preserve"> </w:t>
      </w:r>
      <w:r>
        <w:t>Luftfeuchte verursachen irreversible physikalische Veränderungen in den Materialien, obwohl diese für das</w:t>
      </w:r>
      <w:r w:rsidR="00AF39CD">
        <w:t xml:space="preserve"> </w:t>
      </w:r>
      <w:r>
        <w:t>menschliche Auge nicht immer wahrnehmbar sind. Die Anfälligkeit gegenüber Abbaumechanismen kann mit</w:t>
      </w:r>
      <w:r w:rsidR="00AF39CD">
        <w:t xml:space="preserve"> </w:t>
      </w:r>
      <w:r>
        <w:t>der Alterung zunehmen. Bezogen auf die Art des Gegenstands und dessen Alter können die gleichen</w:t>
      </w:r>
      <w:r w:rsidR="00AF39CD">
        <w:t xml:space="preserve"> </w:t>
      </w:r>
      <w:r>
        <w:t>Schwankungen von Lufttemperatur und relativer Luftfeuchte unterschiedliche Auswirkungen erzeugen.</w:t>
      </w:r>
    </w:p>
    <w:p w:rsidR="00825B6F" w:rsidRDefault="00825B6F" w:rsidP="00693E8F">
      <w:pPr>
        <w:jc w:val="both"/>
      </w:pPr>
      <w:r>
        <w:t>Angesichts der extremen Komplexität der Reaktion der Materialien von Kulturgütern auf Schwankungen von</w:t>
      </w:r>
      <w:r w:rsidR="00AF39CD">
        <w:t xml:space="preserve"> </w:t>
      </w:r>
      <w:r>
        <w:t>Lufttemperatur und relativer Luftfeuchte enthält die vorliegende Norm eine Verfahrensweise zur Erstellung von</w:t>
      </w:r>
      <w:r w:rsidR="00AF39CD">
        <w:t xml:space="preserve"> </w:t>
      </w:r>
      <w:r>
        <w:t>allgemeinen Spezifikationen zur Begrenzung der klimabedingten physikalischen Beschädigungen von</w:t>
      </w:r>
      <w:r w:rsidR="00AF39CD">
        <w:t xml:space="preserve"> </w:t>
      </w:r>
      <w:r>
        <w:t>organischen hygroskopischen Materialien. Daher behandelt die Norm nur eine ausgewählte Kategorie von</w:t>
      </w:r>
      <w:r w:rsidR="00AF39CD">
        <w:t xml:space="preserve"> </w:t>
      </w:r>
      <w:r>
        <w:t>Beschädigungen und deckt keine weiteren wichtigen Abbauprozesse ab, die durch mikroklimatische Faktoren</w:t>
      </w:r>
      <w:r w:rsidR="00AF39CD">
        <w:t xml:space="preserve"> </w:t>
      </w:r>
      <w:r>
        <w:t>wie Oxidation, Säurehydrolyse, biologischen Abbau, Korrosionsreaktionen, Auflösung von Materialien durch</w:t>
      </w:r>
      <w:r w:rsidR="00AF39CD">
        <w:t xml:space="preserve"> </w:t>
      </w:r>
      <w:r>
        <w:t>Hygroskopie, Salzkristallisation u. a. beeinflusst werden.</w:t>
      </w:r>
    </w:p>
    <w:p w:rsidR="00AF39CD" w:rsidRDefault="00825B6F" w:rsidP="00693E8F">
      <w:pPr>
        <w:jc w:val="both"/>
      </w:pPr>
      <w:r>
        <w:t>Die vorgeschlagene Methodologie beruht auf einer Analyse der besonderen historischen klimatischen</w:t>
      </w:r>
      <w:r w:rsidR="00AF39CD">
        <w:t xml:space="preserve"> </w:t>
      </w:r>
      <w:r>
        <w:t>Umgebung und einer Bestandaufnahme der anfälligsten und/oder wertvollsten Gegenstände, so dass eine</w:t>
      </w:r>
      <w:r w:rsidR="00AF39CD">
        <w:t xml:space="preserve"> </w:t>
      </w:r>
      <w:r>
        <w:t>Entscheidung aufgrund der Unbedenklichkeit oder andernfalls aufgrund der bestehenden klimatischen</w:t>
      </w:r>
      <w:r w:rsidR="00AF39CD">
        <w:t xml:space="preserve"> </w:t>
      </w:r>
      <w:r>
        <w:t>Bedingungen erfolgt. Die Herangehensweise ermöglicht üblicherweise Bereiche für Zieltemperatur und</w:t>
      </w:r>
      <w:r w:rsidR="00AF39CD">
        <w:t xml:space="preserve"> </w:t>
      </w:r>
      <w:r>
        <w:t>relative Luftfeuchte, die flexibler sind als einzelne Zielwerte, die als Idealbedingungen für die Erhaltung des</w:t>
      </w:r>
      <w:r w:rsidR="00AF39CD">
        <w:t xml:space="preserve"> </w:t>
      </w:r>
      <w:r>
        <w:t>kulturellen Erbes allgemein anerkannt sind. Dies wiederum gestattet eine verringerte Regelung der für die</w:t>
      </w:r>
      <w:r w:rsidR="00AF39CD">
        <w:t xml:space="preserve"> </w:t>
      </w:r>
      <w:r>
        <w:t>Sicherstellung einer guten Erhaltung der Objekte erforderlichen Umgebungsbedingungen. Es wird weniger</w:t>
      </w:r>
      <w:r w:rsidR="00AF39CD">
        <w:t xml:space="preserve"> </w:t>
      </w:r>
      <w:r>
        <w:t>und einfachere Ausrüstung benötigt und die Ausgaben für Investitionen, Instandhaltung und Energie können</w:t>
      </w:r>
      <w:r w:rsidR="00AF39CD">
        <w:t xml:space="preserve"> </w:t>
      </w:r>
      <w:r>
        <w:t>gesenkt werden. Die Regelung von Temperatur und relativer Luftfeuchte kann darüber hinaus durch die</w:t>
      </w:r>
      <w:r w:rsidR="00AF39CD">
        <w:t xml:space="preserve"> </w:t>
      </w:r>
      <w:r>
        <w:t>Erhöhung der passiven Regelungsleistung des Gebäudes minimiert werden. Trotz steigender Energiekosten</w:t>
      </w:r>
      <w:r w:rsidR="00AF39CD">
        <w:t xml:space="preserve"> </w:t>
      </w:r>
      <w:r>
        <w:t>kann ein hohes Maß an Erhaltung in historischen Gebäuden mit kostengünstigen und wirksamen</w:t>
      </w:r>
      <w:r w:rsidR="00AF39CD">
        <w:t xml:space="preserve"> </w:t>
      </w:r>
      <w:r>
        <w:t>Niedrigenergielösungen aufrechterhalten werden</w:t>
      </w:r>
    </w:p>
    <w:p w:rsidR="00825B6F" w:rsidRDefault="00825B6F" w:rsidP="00693E8F">
      <w:pPr>
        <w:jc w:val="both"/>
      </w:pPr>
      <w:r>
        <w:t>Alle Veränderungen, die die Umgebung eines Objektes oder einer Sammlung beeinflussen (oder betreffen),</w:t>
      </w:r>
      <w:r w:rsidR="00AF39CD">
        <w:t xml:space="preserve"> </w:t>
      </w:r>
      <w:r>
        <w:t>müssen von einer Gruppe relevanter Fachleute entschieden werden, der stets ein geeignet qualifizierter</w:t>
      </w:r>
      <w:r w:rsidR="00AF39CD">
        <w:t xml:space="preserve"> </w:t>
      </w:r>
      <w:r>
        <w:t>Konservator angehört, der in der Beurteilung des Zustands von Sammlungen erfahren sowie ein Fachmann</w:t>
      </w:r>
      <w:r w:rsidR="00AF39CD">
        <w:t xml:space="preserve"> f</w:t>
      </w:r>
      <w:r>
        <w:t>ür die Regelung der</w:t>
      </w:r>
      <w:r w:rsidR="00AF39CD">
        <w:t xml:space="preserve"> </w:t>
      </w:r>
      <w:r>
        <w:t>Umgebungsbedingungen ist.</w:t>
      </w:r>
    </w:p>
    <w:p w:rsidR="00825B6F" w:rsidRDefault="00825B6F" w:rsidP="00A40C67">
      <w:pPr>
        <w:pStyle w:val="berschrift6"/>
      </w:pPr>
      <w:r>
        <w:t>1 Anwendungsbereich</w:t>
      </w:r>
    </w:p>
    <w:p w:rsidR="00825B6F" w:rsidRDefault="00825B6F" w:rsidP="00693E8F">
      <w:pPr>
        <w:jc w:val="both"/>
      </w:pPr>
      <w:r>
        <w:t>Diese Europäische Norm ist eine Leitlinie, die die Temperatur und die re</w:t>
      </w:r>
      <w:r w:rsidR="00AF39CD">
        <w:t xml:space="preserve">lative Luftfeuchte festlegt, um </w:t>
      </w:r>
      <w:r>
        <w:t>klimabedingte physikalische Beschädigungen von hygroskopischen, organischen Materialien zu begrenzen,</w:t>
      </w:r>
      <w:r w:rsidR="00AF39CD">
        <w:t xml:space="preserve"> </w:t>
      </w:r>
      <w:r>
        <w:t>die in Innenräumen von Museen, Galerien, Lagerbereichen, Archiven, Bibliotheken, Kirchen sowie modernen</w:t>
      </w:r>
      <w:r w:rsidR="00AF39CD">
        <w:t xml:space="preserve"> </w:t>
      </w:r>
      <w:r>
        <w:t>oder historischen Gebäuden einer Langzeitlagerung oder Ausstellungen (mehr als eine je Jahr) ausgesetzt</w:t>
      </w:r>
      <w:r w:rsidR="00AF39CD">
        <w:t xml:space="preserve"> </w:t>
      </w:r>
      <w:r>
        <w:t>sind.</w:t>
      </w:r>
    </w:p>
    <w:p w:rsidR="00825B6F" w:rsidRDefault="00825B6F" w:rsidP="00A40C67">
      <w:pPr>
        <w:pStyle w:val="berschrift6"/>
      </w:pPr>
      <w:r>
        <w:t>3 Begriffe</w:t>
      </w:r>
    </w:p>
    <w:p w:rsidR="00825B6F" w:rsidRDefault="00825B6F" w:rsidP="00693E8F">
      <w:pPr>
        <w:jc w:val="both"/>
      </w:pPr>
      <w:r>
        <w:t>Für die Anwendung dieses Dokuments gelten die Begriffe nach prEN 15898:2010 und die folgenden Begriffe.</w:t>
      </w:r>
    </w:p>
    <w:p w:rsidR="00825B6F" w:rsidRDefault="00825B6F" w:rsidP="00A40C67">
      <w:pPr>
        <w:pStyle w:val="berschrift7"/>
      </w:pPr>
      <w:r>
        <w:t>3.1</w:t>
      </w:r>
      <w:r w:rsidR="00A40C67">
        <w:t xml:space="preserve"> </w:t>
      </w:r>
      <w:r>
        <w:t>aktive Regelung</w:t>
      </w:r>
    </w:p>
    <w:p w:rsidR="00825B6F" w:rsidRDefault="00825B6F" w:rsidP="00693E8F">
      <w:pPr>
        <w:jc w:val="both"/>
      </w:pPr>
      <w:r>
        <w:t>Anwendung von Geräten, die zur Erzwingung des Wärme-, Feuchtigkeits- oder Luftaustausches fähig sind,</w:t>
      </w:r>
      <w:r w:rsidR="00AF39CD">
        <w:t xml:space="preserve"> </w:t>
      </w:r>
      <w:r>
        <w:t>mit in Echtzeit arbeitenden Messfühlern und Reglern</w:t>
      </w:r>
    </w:p>
    <w:p w:rsidR="00825B6F" w:rsidRDefault="00825B6F" w:rsidP="00A40C67">
      <w:pPr>
        <w:pStyle w:val="berschrift7"/>
      </w:pPr>
      <w:r>
        <w:t>3.2</w:t>
      </w:r>
      <w:r w:rsidR="00A40C67">
        <w:t xml:space="preserve"> </w:t>
      </w:r>
      <w:r>
        <w:t>Lufttemperatur</w:t>
      </w:r>
    </w:p>
    <w:p w:rsidR="00825B6F" w:rsidRDefault="00825B6F" w:rsidP="00693E8F">
      <w:pPr>
        <w:jc w:val="both"/>
      </w:pPr>
      <w:r>
        <w:t>Temperatur, die an einem Thermometer abgelesen wird, das an einer Stelle der Luft ausgesetzt ist, an der es</w:t>
      </w:r>
      <w:r w:rsidR="00AF39CD">
        <w:t xml:space="preserve"> </w:t>
      </w:r>
      <w:r>
        <w:t>vor direkter Sonnenstrahlung und sonstigen Energiequellen geschützt ist</w:t>
      </w:r>
    </w:p>
    <w:p w:rsidR="00825B6F" w:rsidRDefault="00825B6F" w:rsidP="00693E8F">
      <w:pPr>
        <w:jc w:val="both"/>
      </w:pPr>
      <w:r>
        <w:t>ANMERKUNG Im Fall, dass Objekte direkter Strahlung ausgesetzt werden, sollten Schwarzkugelthermometer oder</w:t>
      </w:r>
      <w:r w:rsidR="00AF39CD">
        <w:t xml:space="preserve"> </w:t>
      </w:r>
      <w:r>
        <w:t>streifenförmige Schwarzkörperziele verwendet werden. Zu Begriffen siehe auch EN 15758</w:t>
      </w:r>
    </w:p>
    <w:p w:rsidR="00825B6F" w:rsidRDefault="00825B6F" w:rsidP="00A40C67">
      <w:pPr>
        <w:pStyle w:val="berschrift7"/>
      </w:pPr>
      <w:r>
        <w:t>3.3</w:t>
      </w:r>
      <w:r w:rsidR="00A40C67">
        <w:t xml:space="preserve"> </w:t>
      </w:r>
      <w:r>
        <w:t>Gleichgewichtsfeuchtegehalt</w:t>
      </w:r>
    </w:p>
    <w:p w:rsidR="00825B6F" w:rsidRPr="00C10B8B" w:rsidRDefault="00825B6F" w:rsidP="00825B6F">
      <w:pPr>
        <w:rPr>
          <w:lang w:val="fr-CH"/>
        </w:rPr>
      </w:pPr>
      <w:r w:rsidRPr="00C10B8B">
        <w:rPr>
          <w:lang w:val="fr-CH"/>
        </w:rPr>
        <w:t>EMC</w:t>
      </w:r>
      <w:r w:rsidR="00AF39CD" w:rsidRPr="00C10B8B">
        <w:rPr>
          <w:lang w:val="fr-CH"/>
        </w:rPr>
        <w:t xml:space="preserve"> </w:t>
      </w:r>
      <w:r w:rsidRPr="00C10B8B">
        <w:rPr>
          <w:lang w:val="fr-CH"/>
        </w:rPr>
        <w:t>(en: equilibrium moisture content)</w:t>
      </w:r>
    </w:p>
    <w:p w:rsidR="00825B6F" w:rsidRDefault="00825B6F" w:rsidP="00693E8F">
      <w:pPr>
        <w:jc w:val="both"/>
      </w:pPr>
      <w:r>
        <w:t>Feuchtegehalt, bei dem ein hygroskopisches Material bei bestimmten Werte</w:t>
      </w:r>
      <w:r w:rsidR="00AF39CD">
        <w:t xml:space="preserve">n der relativen Luftfeuchte und </w:t>
      </w:r>
      <w:r>
        <w:t>Lufttemperatur weder Feuchtigkeit an die umgebende Atmosphäre verliert noch sie aus dieser aufnimmt</w:t>
      </w:r>
    </w:p>
    <w:p w:rsidR="00825B6F" w:rsidRDefault="00825B6F" w:rsidP="00A40C67">
      <w:pPr>
        <w:pStyle w:val="berschrift7"/>
      </w:pPr>
      <w:r>
        <w:t>3.4</w:t>
      </w:r>
      <w:r w:rsidR="00A40C67">
        <w:t xml:space="preserve"> </w:t>
      </w:r>
      <w:r>
        <w:t>Heizungs-, Lüftungs- und Klimaanlagen</w:t>
      </w:r>
    </w:p>
    <w:p w:rsidR="00825B6F" w:rsidRPr="00C10B8B" w:rsidRDefault="00825B6F" w:rsidP="00825B6F">
      <w:pPr>
        <w:rPr>
          <w:lang w:val="en-US"/>
        </w:rPr>
      </w:pPr>
      <w:r w:rsidRPr="00C10B8B">
        <w:rPr>
          <w:lang w:val="en-US"/>
        </w:rPr>
        <w:t>HVAC</w:t>
      </w:r>
      <w:r w:rsidR="00A40C67" w:rsidRPr="00C10B8B">
        <w:rPr>
          <w:lang w:val="en-US"/>
        </w:rPr>
        <w:t xml:space="preserve"> </w:t>
      </w:r>
      <w:r w:rsidRPr="00C10B8B">
        <w:rPr>
          <w:lang w:val="en-US"/>
        </w:rPr>
        <w:t>(en: Heating, Ventilating or Conditioning Systems)</w:t>
      </w:r>
    </w:p>
    <w:p w:rsidR="00825B6F" w:rsidRDefault="00825B6F" w:rsidP="00693E8F">
      <w:pPr>
        <w:jc w:val="both"/>
      </w:pPr>
      <w:r>
        <w:t xml:space="preserve">aktive Anlagen, die betrieben werden, um die Lufttemperatur (Beheizung), die Lufttemperatur und </w:t>
      </w:r>
      <w:r w:rsidR="00AF39CD">
        <w:t>–</w:t>
      </w:r>
      <w:r>
        <w:t>feuchte</w:t>
      </w:r>
      <w:r w:rsidR="00AF39CD">
        <w:t xml:space="preserve"> </w:t>
      </w:r>
      <w:r>
        <w:t>(Klimatisierung) oder die Lüftung in einem Gebäude zu regeln</w:t>
      </w:r>
    </w:p>
    <w:p w:rsidR="00825B6F" w:rsidRDefault="00825B6F" w:rsidP="00A40C67">
      <w:pPr>
        <w:pStyle w:val="berschrift7"/>
      </w:pPr>
      <w:r>
        <w:t>3.5</w:t>
      </w:r>
      <w:r w:rsidR="00A40C67">
        <w:t xml:space="preserve"> </w:t>
      </w:r>
      <w:r>
        <w:t>historisches Klima</w:t>
      </w:r>
    </w:p>
    <w:p w:rsidR="00AF39CD" w:rsidRDefault="00825B6F" w:rsidP="00693E8F">
      <w:pPr>
        <w:jc w:val="both"/>
      </w:pPr>
      <w:r>
        <w:t>klimatische Bedingungen in der Mikroumgebung, unter denen ein Gegenstand des kulturellen Erbes stets</w:t>
      </w:r>
      <w:r w:rsidR="00AF39CD">
        <w:t xml:space="preserve"> </w:t>
      </w:r>
      <w:r>
        <w:t>oder für eine lange Zeitdauer (mindestens ein Jahr) gehalten wurde und an die er sich akklimatisiert hat</w:t>
      </w:r>
      <w:r w:rsidR="00AF39CD">
        <w:t xml:space="preserve"> </w:t>
      </w:r>
    </w:p>
    <w:p w:rsidR="00825B6F" w:rsidRDefault="00825B6F" w:rsidP="00A40C67">
      <w:pPr>
        <w:pStyle w:val="berschrift7"/>
      </w:pPr>
      <w:r>
        <w:t>3.6</w:t>
      </w:r>
      <w:r w:rsidR="00A40C67">
        <w:t xml:space="preserve"> </w:t>
      </w:r>
      <w:r>
        <w:t>hygroskopisches Material</w:t>
      </w:r>
    </w:p>
    <w:p w:rsidR="00825B6F" w:rsidRDefault="00825B6F" w:rsidP="00693E8F">
      <w:pPr>
        <w:jc w:val="both"/>
      </w:pPr>
      <w:r>
        <w:t>Material, das Feuchtigkeit adsorbiert, wenn die relative Luftfeuchte in</w:t>
      </w:r>
      <w:r w:rsidR="00AF39CD">
        <w:t xml:space="preserve"> der Umgebung ansteigt, und das </w:t>
      </w:r>
      <w:r>
        <w:t>Feuchtigkeit verliert, wenn die relative Luftfeuchte absinkt</w:t>
      </w:r>
    </w:p>
    <w:p w:rsidR="00825B6F" w:rsidRDefault="00825B6F" w:rsidP="00A40C67">
      <w:pPr>
        <w:pStyle w:val="berschrift7"/>
      </w:pPr>
      <w:r>
        <w:t>3.7</w:t>
      </w:r>
      <w:r w:rsidR="00A40C67">
        <w:t xml:space="preserve"> </w:t>
      </w:r>
      <w:r>
        <w:t>Innenraumumgebung</w:t>
      </w:r>
    </w:p>
    <w:p w:rsidR="00825B6F" w:rsidRDefault="00825B6F" w:rsidP="00693E8F">
      <w:pPr>
        <w:jc w:val="both"/>
      </w:pPr>
      <w:r>
        <w:t>Bereich innerhalb eines Gebäudes, in dem Gegenstände des kulturellen Erbes aufbewahrt werden</w:t>
      </w:r>
    </w:p>
    <w:p w:rsidR="00825B6F" w:rsidRDefault="00825B6F" w:rsidP="00A40C67">
      <w:pPr>
        <w:pStyle w:val="berschrift7"/>
      </w:pPr>
      <w:r>
        <w:t>3.8</w:t>
      </w:r>
      <w:r w:rsidR="00A40C67">
        <w:t xml:space="preserve"> </w:t>
      </w:r>
      <w:r>
        <w:t>Mikroklima</w:t>
      </w:r>
    </w:p>
    <w:p w:rsidR="00825B6F" w:rsidRDefault="00825B6F" w:rsidP="00825B6F">
      <w:r>
        <w:t>im kleinen räumlichen Maßstab betrachtetes Klima</w:t>
      </w:r>
    </w:p>
    <w:p w:rsidR="00825B6F" w:rsidRDefault="00825B6F" w:rsidP="00693E8F">
      <w:pPr>
        <w:jc w:val="both"/>
      </w:pPr>
      <w:r>
        <w:t>ANMERKUNG Bezieht sich gewöhnlich auf die Mikroumgebung, die in Wechselwirkung mit den betreffenden Objekten</w:t>
      </w:r>
      <w:r w:rsidR="00AF39CD">
        <w:t xml:space="preserve"> </w:t>
      </w:r>
      <w:r>
        <w:t>steht.</w:t>
      </w:r>
    </w:p>
    <w:p w:rsidR="00825B6F" w:rsidRDefault="00825B6F" w:rsidP="00A40C67">
      <w:pPr>
        <w:pStyle w:val="berschrift7"/>
      </w:pPr>
      <w:r>
        <w:t>3.9</w:t>
      </w:r>
      <w:r w:rsidR="00A40C67">
        <w:t xml:space="preserve"> </w:t>
      </w:r>
      <w:r>
        <w:t>relative Luftfeuchte</w:t>
      </w:r>
    </w:p>
    <w:p w:rsidR="00825B6F" w:rsidRDefault="00825B6F" w:rsidP="00825B6F">
      <w:r>
        <w:t>RH</w:t>
      </w:r>
      <w:r w:rsidR="00A40C67">
        <w:t xml:space="preserve"> </w:t>
      </w:r>
      <w:r>
        <w:t>(en: relative humidity)</w:t>
      </w:r>
    </w:p>
    <w:p w:rsidR="00825B6F" w:rsidRDefault="00825B6F" w:rsidP="00693E8F">
      <w:pPr>
        <w:jc w:val="both"/>
      </w:pPr>
      <w:r>
        <w:t>Verhältnis des tatsächlichen Dampfdrucks zum Sättigungsdampfdruck</w:t>
      </w:r>
    </w:p>
    <w:p w:rsidR="00825B6F" w:rsidRDefault="00825B6F" w:rsidP="00A40C67">
      <w:pPr>
        <w:pStyle w:val="berschrift7"/>
      </w:pPr>
      <w:r>
        <w:t>3.10</w:t>
      </w:r>
      <w:r w:rsidR="00A40C67">
        <w:t xml:space="preserve"> </w:t>
      </w:r>
      <w:r>
        <w:t>Zielwert</w:t>
      </w:r>
    </w:p>
    <w:p w:rsidR="00825B6F" w:rsidRDefault="00825B6F" w:rsidP="00693E8F">
      <w:pPr>
        <w:jc w:val="both"/>
      </w:pPr>
      <w:r>
        <w:t>Wert der relativen Luftfeuchte, der aufrechterhalten werden sollte, um die bestmögliche Erhaltung</w:t>
      </w:r>
      <w:r w:rsidR="00AF39CD">
        <w:t xml:space="preserve"> </w:t>
      </w:r>
      <w:r>
        <w:t>sicherzustellen</w:t>
      </w:r>
    </w:p>
    <w:p w:rsidR="00825B6F" w:rsidRDefault="00825B6F" w:rsidP="00693E8F">
      <w:pPr>
        <w:jc w:val="both"/>
      </w:pPr>
      <w:r>
        <w:t>ANMERKUNG Er wird durch das historische Klima einer vorhandenen Umgebung bestimmt, das sich als für die</w:t>
      </w:r>
      <w:r w:rsidR="00AF39CD">
        <w:t xml:space="preserve"> </w:t>
      </w:r>
      <w:r>
        <w:t>Erhaltung von Objekten unbedenklich erwiesen hat. Ansonsten sollte er durch einen qualifizierten Erhaltungsfachmann</w:t>
      </w:r>
      <w:r w:rsidR="00AF39CD">
        <w:t xml:space="preserve"> </w:t>
      </w:r>
      <w:r>
        <w:t>festgelegt werden.</w:t>
      </w:r>
    </w:p>
    <w:p w:rsidR="00825B6F" w:rsidRDefault="00825B6F" w:rsidP="00A40C67">
      <w:pPr>
        <w:pStyle w:val="berschrift7"/>
      </w:pPr>
      <w:r>
        <w:t>3.11</w:t>
      </w:r>
      <w:r w:rsidR="00A40C67">
        <w:t xml:space="preserve"> </w:t>
      </w:r>
      <w:r>
        <w:t>Zielbereich</w:t>
      </w:r>
    </w:p>
    <w:p w:rsidR="00825B6F" w:rsidRDefault="00825B6F" w:rsidP="00693E8F">
      <w:pPr>
        <w:jc w:val="both"/>
      </w:pPr>
      <w:r>
        <w:t>Bereich der Schwankungen der relativen Luftfeuchte, der nicht überschritten werden sollte, um die</w:t>
      </w:r>
      <w:r w:rsidR="00AF39CD">
        <w:t xml:space="preserve"> </w:t>
      </w:r>
      <w:r>
        <w:t>bestmögliche Erhaltung sicherzustellen</w:t>
      </w:r>
    </w:p>
    <w:p w:rsidR="00825B6F" w:rsidRDefault="00825B6F" w:rsidP="00693E8F">
      <w:pPr>
        <w:jc w:val="both"/>
      </w:pPr>
      <w:r>
        <w:t>ANMERKUNG Er wird durch das historische Klima einer vorhandenen Umgebung bestimmt, das sich als für die</w:t>
      </w:r>
      <w:r w:rsidR="00AF39CD">
        <w:t xml:space="preserve"> </w:t>
      </w:r>
      <w:r>
        <w:t>Erhaltung von Objekten unbedenklich erwiesen hat. Ansonsten sollte er durch einen qualifizierten Erhaltungsfachmann</w:t>
      </w:r>
      <w:r w:rsidR="00AF39CD">
        <w:t xml:space="preserve"> </w:t>
      </w:r>
      <w:r>
        <w:t>festgelegt werden.</w:t>
      </w:r>
    </w:p>
    <w:p w:rsidR="00825B6F" w:rsidRDefault="00825B6F" w:rsidP="00A40C67">
      <w:pPr>
        <w:pStyle w:val="berschrift6"/>
      </w:pPr>
      <w:r>
        <w:t>4 Allgemeine Empfehlungen für organische hygroskopische Materialien</w:t>
      </w:r>
    </w:p>
    <w:p w:rsidR="00825B6F" w:rsidRDefault="00825B6F" w:rsidP="00693E8F">
      <w:pPr>
        <w:jc w:val="both"/>
      </w:pPr>
      <w:r>
        <w:t>In der Regel erfordern organische hygroskopische Materialien einen mittleren Bereich der relativen</w:t>
      </w:r>
      <w:r w:rsidR="00AF39CD">
        <w:t xml:space="preserve"> </w:t>
      </w:r>
      <w:r>
        <w:t>Luftfeuchte, um Extreme (d.h. hohe oder niedrige Bereiche der relativen Luftfeuch</w:t>
      </w:r>
      <w:r w:rsidR="00AF39CD">
        <w:t>t</w:t>
      </w:r>
      <w:r>
        <w:t>e) zu vermeiden, da selbst</w:t>
      </w:r>
      <w:r w:rsidR="00AF39CD">
        <w:t xml:space="preserve"> </w:t>
      </w:r>
      <w:r>
        <w:t>geringfügige Änderungen der relativen Luftfeuchte den Gleichgewichtsfeuchtegehalt beeinflussen, was zu</w:t>
      </w:r>
      <w:r w:rsidR="00AF39CD">
        <w:t xml:space="preserve"> </w:t>
      </w:r>
      <w:r>
        <w:t>strukturellen Schäden, Verformung und Rissbildung führen kann.</w:t>
      </w:r>
    </w:p>
    <w:p w:rsidR="00825B6F" w:rsidRDefault="00825B6F" w:rsidP="00693E8F">
      <w:pPr>
        <w:jc w:val="both"/>
      </w:pPr>
      <w:r>
        <w:t>Allerdings wird sich ein Material, das über eine signifikante Zeitdauer gelagert wurde, sogar in einer qualitativ</w:t>
      </w:r>
      <w:r w:rsidR="00AF39CD">
        <w:t xml:space="preserve"> </w:t>
      </w:r>
      <w:r>
        <w:t>geringwertigen Umgebung, an die Bedingungen akklimatisiert haben. Eine sorgfältige Analyse der</w:t>
      </w:r>
      <w:r w:rsidR="00AF39CD">
        <w:t xml:space="preserve"> </w:t>
      </w:r>
      <w:r>
        <w:t>Bedürfnisse des Materials ist erforderlich, um sicherzustellen, dass festgelegte Normwerte nicht weitere</w:t>
      </w:r>
      <w:r w:rsidR="00AF39CD">
        <w:t xml:space="preserve"> </w:t>
      </w:r>
      <w:r>
        <w:t>Beschädigungen nach sich ziehen.</w:t>
      </w:r>
    </w:p>
    <w:p w:rsidR="00825B6F" w:rsidRDefault="00825B6F" w:rsidP="00693E8F">
      <w:pPr>
        <w:jc w:val="both"/>
      </w:pPr>
      <w:r>
        <w:t>Jede Änderung eines bestimmten historischen Klimas kann problematisch sein, auch wenn die neuen</w:t>
      </w:r>
      <w:r w:rsidR="00AF39CD">
        <w:t xml:space="preserve"> </w:t>
      </w:r>
      <w:r>
        <w:t>Bedingungen in Hinblick auf die Langzeiterhaltung besser zu sein scheinen. Bei plötzlichen Änderungen kann</w:t>
      </w:r>
      <w:r w:rsidR="00AF39CD">
        <w:t xml:space="preserve"> </w:t>
      </w:r>
      <w:r>
        <w:t>das Spannungs-Dehnungs-Verhalten einen „Klimaschock“ erzeugen, der zu noch stärkeren Beschädigungen</w:t>
      </w:r>
      <w:r w:rsidR="00AF39CD">
        <w:t xml:space="preserve"> </w:t>
      </w:r>
      <w:r>
        <w:t>führen kann. Selbst wenn die Änderung langsam erfolgt, kann sie dennoch Spannungen erzeugen und</w:t>
      </w:r>
      <w:r w:rsidR="00AF39CD">
        <w:t xml:space="preserve"> </w:t>
      </w:r>
      <w:r>
        <w:t>Beschädigungen verursachen.</w:t>
      </w:r>
    </w:p>
    <w:p w:rsidR="00825B6F" w:rsidRDefault="00825B6F" w:rsidP="00693E8F">
      <w:pPr>
        <w:jc w:val="both"/>
      </w:pPr>
      <w:r>
        <w:t>Der Schwerpunkt der in dieser Norm beschriebenen Strategie liegt daher auf der Aufrech</w:t>
      </w:r>
      <w:r w:rsidR="00AF39CD">
        <w:t>t</w:t>
      </w:r>
      <w:r>
        <w:t>erhaltung des</w:t>
      </w:r>
      <w:r w:rsidR="00AF39CD">
        <w:t xml:space="preserve"> </w:t>
      </w:r>
      <w:r>
        <w:t>Mikroklimas in Hinblick auf Werte, jahreszeitliche Zyklen und Schwankungen der Temperatur und der</w:t>
      </w:r>
      <w:r w:rsidR="00AF39CD">
        <w:t xml:space="preserve"> </w:t>
      </w:r>
      <w:r>
        <w:t>relativen Luftfeuchte, an das sich die Materialien über eine lange Zeitdauer akklimatisiert haben, sofern sich</w:t>
      </w:r>
      <w:r w:rsidR="00AF39CD">
        <w:t xml:space="preserve"> </w:t>
      </w:r>
      <w:r>
        <w:t>dieses Mikroklima als nicht schädlich erwiesen hat. Bevor eine Entscheidung hinsichtlich der Bedenklichkeit</w:t>
      </w:r>
      <w:r w:rsidR="00AF39CD">
        <w:t xml:space="preserve"> </w:t>
      </w:r>
      <w:r>
        <w:t>oder sonstiger bestehender klimatischer Bedingungen getroffen wird, sollte der am Projekt beteiligte</w:t>
      </w:r>
      <w:r w:rsidR="00AF39CD">
        <w:t xml:space="preserve"> </w:t>
      </w:r>
      <w:r>
        <w:t>professionelle Konservator einen Zustandsbericht über die anfälligsten und/oder wertvollsten Objekte</w:t>
      </w:r>
      <w:r w:rsidR="00AF39CD">
        <w:t xml:space="preserve"> </w:t>
      </w:r>
      <w:r>
        <w:t>erstellen, die jeder empfohlenen Regelung der Umgebungsbedingungen unterliegen müssen.</w:t>
      </w:r>
    </w:p>
    <w:p w:rsidR="00825B6F" w:rsidRDefault="00825B6F" w:rsidP="00693E8F">
      <w:pPr>
        <w:jc w:val="both"/>
      </w:pPr>
      <w:r>
        <w:t>Sofern das Material in eine andere klimatische Umgebung versetzt werden muss, ist eine sorgfältige häufige</w:t>
      </w:r>
      <w:r w:rsidR="00AF39CD">
        <w:t xml:space="preserve"> </w:t>
      </w:r>
      <w:r>
        <w:t>Überwachung des Materialzustands notwendig, um Anzeichen für den Abbau zu erkennen, um die</w:t>
      </w:r>
      <w:r w:rsidR="00AF39CD">
        <w:t xml:space="preserve"> </w:t>
      </w:r>
      <w:r>
        <w:t>Stabilisierung der Umweltbedingungen im Hinblick auf die besonderen Bedürfnisse des Materials zu</w:t>
      </w:r>
      <w:r w:rsidR="00AF39CD">
        <w:t xml:space="preserve"> </w:t>
      </w:r>
      <w:r>
        <w:t>ermöglichen.</w:t>
      </w:r>
    </w:p>
    <w:p w:rsidR="00825B6F" w:rsidRDefault="00825B6F" w:rsidP="00693E8F">
      <w:pPr>
        <w:jc w:val="both"/>
      </w:pPr>
      <w:r>
        <w:t>Bei Gegenständen, die aus mehr als einem Material bestehen oder bei denen mehrere unterschiedliche</w:t>
      </w:r>
      <w:r w:rsidR="00AF39CD">
        <w:t xml:space="preserve"> </w:t>
      </w:r>
      <w:r>
        <w:t>Materialarten an einer Stelle auftreten, wird das Problem komplexer, und eine Beurteilung der potenziellen</w:t>
      </w:r>
      <w:r w:rsidR="00AF39CD">
        <w:t xml:space="preserve"> </w:t>
      </w:r>
      <w:r>
        <w:t>Wechselwirkungen zwischen den Materialien oder Teilen von Objekten aus ähnlichen Materialien ist</w:t>
      </w:r>
      <w:r w:rsidR="00AF39CD">
        <w:t xml:space="preserve"> </w:t>
      </w:r>
      <w:r>
        <w:t>erforderlich. Beim Auftreten von Synergieeffekten zwischen einzelnen Materialreaktionen, kann die Anfälligkeit</w:t>
      </w:r>
      <w:r w:rsidR="00AF39CD">
        <w:t xml:space="preserve"> </w:t>
      </w:r>
      <w:r>
        <w:t>derartiger Objekte sogar noch größer als die ihres anfälligsten Einzelteils sein. Jedoch bleiben die</w:t>
      </w:r>
      <w:r w:rsidR="00AF39CD">
        <w:t xml:space="preserve"> </w:t>
      </w:r>
      <w:r>
        <w:t>Festlegungen hinsichtlich der Stabilität von Temperatur und relativen Luftfeuchte sowie die Wichtigkeit der</w:t>
      </w:r>
      <w:r w:rsidR="00AF39CD">
        <w:t xml:space="preserve"> </w:t>
      </w:r>
      <w:r>
        <w:t>sorgfältigen Betrachtung des historischen Klimas im Allgemeinen gültig.</w:t>
      </w:r>
    </w:p>
    <w:p w:rsidR="00825B6F" w:rsidRDefault="00825B6F" w:rsidP="00A40C67">
      <w:pPr>
        <w:pStyle w:val="berschrift6"/>
      </w:pPr>
      <w:r>
        <w:t>5 Festlegung der Lufttemperatur und der relativen Luftfeuchte für organische</w:t>
      </w:r>
      <w:r w:rsidR="00A40C67">
        <w:t xml:space="preserve"> </w:t>
      </w:r>
      <w:r>
        <w:t>hygroskopische Materialien</w:t>
      </w:r>
    </w:p>
    <w:p w:rsidR="00825B6F" w:rsidRDefault="00825B6F" w:rsidP="00A40C67">
      <w:pPr>
        <w:pStyle w:val="berschrift7"/>
      </w:pPr>
      <w:r>
        <w:t>5.1 Bestimmung der Prioritäten</w:t>
      </w:r>
    </w:p>
    <w:p w:rsidR="00825B6F" w:rsidRDefault="00825B6F" w:rsidP="00693E8F">
      <w:pPr>
        <w:jc w:val="both"/>
      </w:pPr>
      <w:r>
        <w:t>Änderungen im Gleichgewichtsfeuchtegehalt organischer hygroskopischer Materialien verursachen Maß-änderungen mit möglichen inneren Dehnungszyklen und dem damit verbundenen Risiko der Verformung oder</w:t>
      </w:r>
      <w:r w:rsidR="00AF39CD">
        <w:t xml:space="preserve"> </w:t>
      </w:r>
      <w:r>
        <w:t>Rissbildung in Abhängigkeit von Bau- und Materialaspekten. Das Risiko ist bei anisotropen Materialien größer</w:t>
      </w:r>
      <w:r w:rsidR="00AF39CD">
        <w:t xml:space="preserve"> </w:t>
      </w:r>
      <w:r>
        <w:t>als bei isotropen.</w:t>
      </w:r>
    </w:p>
    <w:p w:rsidR="00825B6F" w:rsidRDefault="00825B6F" w:rsidP="00693E8F">
      <w:pPr>
        <w:jc w:val="both"/>
      </w:pPr>
      <w:r>
        <w:t>Wenn Änderungen der relativen Luftfeuchte eine größere Auswirkung auf den Gleichgewichtsfeuchtegehalt</w:t>
      </w:r>
      <w:r w:rsidR="00AF39CD">
        <w:t xml:space="preserve"> </w:t>
      </w:r>
      <w:r>
        <w:t>und die sich ergebende Maßänderung von hygroskopischen Materialien als Änderungen der Temperatur</w:t>
      </w:r>
      <w:r w:rsidR="00AF39CD">
        <w:t xml:space="preserve"> </w:t>
      </w:r>
      <w:r>
        <w:t>haben, sollte die relative Luftfeuchte möglichst genau dem historischen Klima entsprechen.</w:t>
      </w:r>
    </w:p>
    <w:p w:rsidR="00825B6F" w:rsidRDefault="00825B6F" w:rsidP="00693E8F">
      <w:pPr>
        <w:jc w:val="both"/>
      </w:pPr>
      <w:r>
        <w:t>Sofern jedoch Gegenstände durch Temperaturänderungen wesentlich beeinträchtigt werden können, sollten</w:t>
      </w:r>
      <w:r w:rsidR="00AF39CD">
        <w:t xml:space="preserve"> </w:t>
      </w:r>
      <w:r>
        <w:t>die Anforderungen an die Stabilität sowohl der relativen Luftfeuchte als auch der Temperatur berücksichtigt</w:t>
      </w:r>
      <w:r w:rsidR="00AF39CD">
        <w:t xml:space="preserve"> </w:t>
      </w:r>
      <w:r>
        <w:t>und ein Gleichgewicht hergestellt werden.</w:t>
      </w:r>
    </w:p>
    <w:p w:rsidR="00825B6F" w:rsidRDefault="00825B6F" w:rsidP="00A40C67">
      <w:pPr>
        <w:pStyle w:val="berschrift7"/>
      </w:pPr>
      <w:r>
        <w:t>5.2 Aufrechterhaltung stabiler Umgebungsbedingungen</w:t>
      </w:r>
    </w:p>
    <w:p w:rsidR="00AF39CD" w:rsidRDefault="00825B6F" w:rsidP="00693E8F">
      <w:pPr>
        <w:jc w:val="both"/>
      </w:pPr>
      <w:r>
        <w:t>Sofern eine stabile relative Luftfeuchte Priorität hat, sollten Veränderungen der relativen Luftfeuchte</w:t>
      </w:r>
      <w:r w:rsidR="00AF39CD">
        <w:t xml:space="preserve"> </w:t>
      </w:r>
      <w:r>
        <w:t>vermieden werden, wobei angemessene Kostenparameter, Risiko und Nutzen für den Gegenstand zu</w:t>
      </w:r>
      <w:r w:rsidR="00AF39CD">
        <w:t xml:space="preserve"> </w:t>
      </w:r>
      <w:r>
        <w:t>berücksichtigen sind sowie räumlich homogen sein müssen, d. h. starke Gefälle und Bereiche oder Geräte,</w:t>
      </w:r>
      <w:r w:rsidR="00AF39CD">
        <w:t xml:space="preserve"> </w:t>
      </w:r>
      <w:r>
        <w:t>die Wärme und Feuchtigkeit aufnehmen oder abführen, sollten vermieden werden.</w:t>
      </w:r>
    </w:p>
    <w:p w:rsidR="00825B6F" w:rsidRDefault="00825B6F" w:rsidP="00693E8F">
      <w:pPr>
        <w:jc w:val="both"/>
      </w:pPr>
      <w:r>
        <w:t>Eine Stabilisierung der relativen Luftfeuchte innerhalb des Zielbereiches um die Mittelwerte oder die</w:t>
      </w:r>
      <w:r w:rsidR="00AF39CD">
        <w:t xml:space="preserve"> </w:t>
      </w:r>
      <w:r>
        <w:t>jahreszeitlichen Zyklen, die für die klimatische Geschichte des Raumes typisch sind, wird das Risiko</w:t>
      </w:r>
      <w:r w:rsidR="00AF39CD">
        <w:t xml:space="preserve"> </w:t>
      </w:r>
      <w:r>
        <w:t>physikalischer Beschädigung vermindern. Vorzugsweise sollte der Zielbereich die historische Variabilität, an</w:t>
      </w:r>
      <w:r w:rsidR="00AF39CD">
        <w:t xml:space="preserve"> </w:t>
      </w:r>
      <w:r>
        <w:t>die sich das Artefakt akklimatisiert hat, nicht überschreiten und auf allen verfügbaren vergangenen</w:t>
      </w:r>
      <w:r w:rsidR="00AF39CD">
        <w:t xml:space="preserve"> </w:t>
      </w:r>
      <w:r>
        <w:t>Klimaaufzeichnungen beruhen, die einen Zeitraum von einem oder mehreren Kalenderjahren abdecken. Um</w:t>
      </w:r>
      <w:r w:rsidR="00AF39CD">
        <w:t xml:space="preserve"> </w:t>
      </w:r>
      <w:r>
        <w:t>einen durch eine unausgeglichene Anzahl unterschiedlicher Jahreszeiten hervorgerufenen systematischen</w:t>
      </w:r>
    </w:p>
    <w:p w:rsidR="00825B6F" w:rsidRDefault="00825B6F" w:rsidP="00693E8F">
      <w:pPr>
        <w:jc w:val="both"/>
      </w:pPr>
      <w:r>
        <w:t>Fehler zu vermeiden, sollten ausschließlich ganzzahlige Vielfache eines Kalenderjahres verwendet werden</w:t>
      </w:r>
      <w:r w:rsidR="00AF39CD">
        <w:t xml:space="preserve"> </w:t>
      </w:r>
      <w:r>
        <w:t>und keine Bruchteile davon. Das Verfahren zur Bestimmung des Zielbereiches der relativen Luftfeuchte ist im</w:t>
      </w:r>
      <w:r w:rsidR="00AF39CD">
        <w:t xml:space="preserve"> </w:t>
      </w:r>
      <w:r>
        <w:t>informativen Anhang A angegeben.</w:t>
      </w:r>
    </w:p>
    <w:p w:rsidR="00825B6F" w:rsidRDefault="00825B6F" w:rsidP="00693E8F">
      <w:pPr>
        <w:jc w:val="both"/>
      </w:pPr>
      <w:r>
        <w:t>Das Ziel der Erhaltungs-/Präventivmaßnahmen gegen physikalische Beschädigung ist die Vermeidung</w:t>
      </w:r>
      <w:r w:rsidR="00AF39CD">
        <w:t xml:space="preserve"> </w:t>
      </w:r>
      <w:r>
        <w:t>kurzzeitiger Schwankungen und Zyklen sowie die Verringerung jäher und/oder regelmäßiger Schwankungen</w:t>
      </w:r>
      <w:r w:rsidR="00AF39CD">
        <w:t xml:space="preserve"> </w:t>
      </w:r>
      <w:r>
        <w:t>sowohl der Temperatur als auch der relativen Luftfeuchte, die zu physikalischen Schäden an Gegenständen</w:t>
      </w:r>
      <w:r w:rsidR="00AF39CD">
        <w:t xml:space="preserve"> </w:t>
      </w:r>
      <w:r>
        <w:t>führen. Geeignete Überwachungsprotokolle sollten sicherstellen, dass Tageszyklen vermieden oder</w:t>
      </w:r>
      <w:r w:rsidR="00AF39CD">
        <w:t xml:space="preserve"> </w:t>
      </w:r>
      <w:r>
        <w:t>abgeschwächt werden, d. h. die relative Luftfeuchte sollte während Tag und Nacht konstant bleiben.</w:t>
      </w:r>
    </w:p>
    <w:p w:rsidR="00825B6F" w:rsidRDefault="00825B6F" w:rsidP="00693E8F">
      <w:pPr>
        <w:jc w:val="both"/>
      </w:pPr>
      <w:r>
        <w:t>Parallel zur regelmäßigen Überwachung der inneren Umgebung sollte eine Analyse der Daten der äußeren</w:t>
      </w:r>
      <w:r w:rsidR="00AF39CD">
        <w:t xml:space="preserve"> </w:t>
      </w:r>
      <w:r>
        <w:t>Umgebungsbedingungen durchgeführt werden. Diese Bedingungen werden von den Jahreszeiten, täglichen</w:t>
      </w:r>
      <w:r w:rsidR="00AF39CD">
        <w:t xml:space="preserve"> </w:t>
      </w:r>
      <w:r>
        <w:t>Änderungen und extremen Witterungsbedingungen beeinflusst. Der Bereich der jahreszeitlichen Zyklen sollte</w:t>
      </w:r>
      <w:r w:rsidR="00AF39CD">
        <w:t xml:space="preserve"> </w:t>
      </w:r>
      <w:r>
        <w:t>unter Abwägung des Bedarfs an energiebewusster Regelung verringert und ausgeglichen werden. Die</w:t>
      </w:r>
      <w:r w:rsidR="00AF39CD">
        <w:t xml:space="preserve"> </w:t>
      </w:r>
      <w:r>
        <w:t>Dämmfähigkeit des Gebäudes und der Baustoffe sind wichtige Faktoren bei der Aufrechterhaltung stabiler</w:t>
      </w:r>
      <w:r w:rsidR="00AF39CD">
        <w:t xml:space="preserve"> </w:t>
      </w:r>
      <w:r>
        <w:t>innerer Umgebungsbedingungen.</w:t>
      </w:r>
    </w:p>
    <w:p w:rsidR="00825B6F" w:rsidRDefault="00825B6F" w:rsidP="00693E8F">
      <w:pPr>
        <w:jc w:val="both"/>
      </w:pPr>
      <w:r>
        <w:t>Haben relative Luftfeuchte und Lufttemperatur die gleiche Priorität, gelten die vorstehend genannten</w:t>
      </w:r>
      <w:r w:rsidR="00AF39CD">
        <w:t xml:space="preserve"> </w:t>
      </w:r>
      <w:r>
        <w:t>Festlegungen auch für die Lufttemperatur.</w:t>
      </w:r>
    </w:p>
    <w:p w:rsidR="00825B6F" w:rsidRDefault="00825B6F" w:rsidP="00825B6F">
      <w:r>
        <w:t>Eine stabile relative Luftfeuchte kann wie folgt erreicht werden:</w:t>
      </w:r>
    </w:p>
    <w:p w:rsidR="00825B6F" w:rsidRDefault="00825B6F" w:rsidP="00825B6F">
      <w:r>
        <w:rPr>
          <w:rFonts w:ascii="Cambria Math" w:hAnsi="Cambria Math" w:cs="Cambria Math"/>
        </w:rPr>
        <w:t>⎯</w:t>
      </w:r>
      <w:r>
        <w:t xml:space="preserve"> bei konstantem Feuchtegehalt der Luft: die Lufttemperatur ist m</w:t>
      </w:r>
      <w:r>
        <w:rPr>
          <w:rFonts w:cs="Arial"/>
        </w:rPr>
        <w:t>ö</w:t>
      </w:r>
      <w:r>
        <w:t>glichst konstant zu halten;</w:t>
      </w:r>
    </w:p>
    <w:p w:rsidR="00825B6F" w:rsidRDefault="00825B6F" w:rsidP="00825B6F">
      <w:r>
        <w:rPr>
          <w:rFonts w:ascii="Cambria Math" w:hAnsi="Cambria Math" w:cs="Cambria Math"/>
        </w:rPr>
        <w:t>⎯</w:t>
      </w:r>
      <w:r>
        <w:t xml:space="preserve"> bei variablem Feuchtegehalt der Luft: die Lufttemperatur ist zu variieren, um die relative Luftfeuchte</w:t>
      </w:r>
      <w:r w:rsidR="00AF39CD">
        <w:t xml:space="preserve"> </w:t>
      </w:r>
      <w:r>
        <w:t>konstant zu halten (wenn Änderungen der Lufttemperatur keine relevanten Einflüsse auf das Objekt</w:t>
      </w:r>
      <w:r w:rsidR="00AF39CD">
        <w:t xml:space="preserve"> </w:t>
      </w:r>
      <w:r>
        <w:t>haben);</w:t>
      </w:r>
    </w:p>
    <w:p w:rsidR="00825B6F" w:rsidRDefault="00825B6F" w:rsidP="00825B6F">
      <w:r>
        <w:rPr>
          <w:rFonts w:ascii="Cambria Math" w:hAnsi="Cambria Math" w:cs="Cambria Math"/>
        </w:rPr>
        <w:t>⎯</w:t>
      </w:r>
      <w:r>
        <w:t xml:space="preserve"> bei variablem Feuchtegehalt der Luft: Zu- oder Abf</w:t>
      </w:r>
      <w:r>
        <w:rPr>
          <w:rFonts w:cs="Arial"/>
        </w:rPr>
        <w:t>ü</w:t>
      </w:r>
      <w:r>
        <w:t>hren von Feuchte zur/aus der Luft ohne Veränderung</w:t>
      </w:r>
      <w:r w:rsidR="00AF39CD">
        <w:t xml:space="preserve"> </w:t>
      </w:r>
      <w:r>
        <w:t>der Lufttemperatur (wenn Änderungen der Lufttemperatur relevante Einflüsse auf das Objekt haben);</w:t>
      </w:r>
    </w:p>
    <w:p w:rsidR="00825B6F" w:rsidRDefault="00825B6F" w:rsidP="00825B6F">
      <w:r>
        <w:rPr>
          <w:rFonts w:ascii="Cambria Math" w:hAnsi="Cambria Math" w:cs="Cambria Math"/>
        </w:rPr>
        <w:t>⎯</w:t>
      </w:r>
      <w:r>
        <w:t xml:space="preserve"> bei variablem Feuchtegehalt der Luft: Kombination der beiden vorgenannten Verfahren(wenn </w:t>
      </w:r>
      <w:r>
        <w:rPr>
          <w:rFonts w:cs="Arial"/>
        </w:rPr>
        <w:t>Ä</w:t>
      </w:r>
      <w:r w:rsidR="00AF39CD">
        <w:t>nde</w:t>
      </w:r>
      <w:r>
        <w:t>rungen der Lufttemperatur keine relevanten Einflüsse auf das Objekt haben).</w:t>
      </w:r>
    </w:p>
    <w:p w:rsidR="00825B6F" w:rsidRDefault="00825B6F" w:rsidP="00A40C67">
      <w:pPr>
        <w:pStyle w:val="berschrift7"/>
      </w:pPr>
      <w:r>
        <w:t>5.3 Priorität des historischen Klimas</w:t>
      </w:r>
    </w:p>
    <w:p w:rsidR="00825B6F" w:rsidRDefault="00825B6F" w:rsidP="00693E8F">
      <w:pPr>
        <w:jc w:val="both"/>
      </w:pPr>
      <w:r>
        <w:t>Wurde der Zustand von Gegenständen aus organischen hygroskopischen Materialien, die über einen</w:t>
      </w:r>
      <w:r w:rsidR="00AF39CD">
        <w:t xml:space="preserve"> </w:t>
      </w:r>
      <w:r>
        <w:t>längeren Zeitraum (mindestens 1 Jahr) in einem bestimmten Mikroklima aufbewahrt wurden, von qualifizierten</w:t>
      </w:r>
      <w:r w:rsidR="00AF39CD">
        <w:t xml:space="preserve"> </w:t>
      </w:r>
      <w:r>
        <w:t>Fachleuten für Innenraumklima und Erhaltung für zufriedenstellend befunden, sollte das historische Klima im</w:t>
      </w:r>
      <w:r w:rsidR="00AF39CD">
        <w:t xml:space="preserve"> </w:t>
      </w:r>
      <w:r>
        <w:t>Raum, einschließlich der mittleren Werte der relativen Luftfeuchte, des Bereiches der Variabilität der</w:t>
      </w:r>
      <w:r w:rsidR="00AF39CD">
        <w:t xml:space="preserve"> </w:t>
      </w:r>
      <w:r>
        <w:t>natürlichen Zyklen (jahreszeitlich oder täglich) und der Änderungsgeschwindigkeiten, unverändert bleiben. Die</w:t>
      </w:r>
      <w:r w:rsidR="00AF39CD">
        <w:t xml:space="preserve"> </w:t>
      </w:r>
      <w:r>
        <w:t>einzigen annehmbaren Änderungen sind Verbesserungen, die Schwankungen der Klimabedingungen</w:t>
      </w:r>
      <w:r w:rsidR="00AF39CD">
        <w:t xml:space="preserve"> </w:t>
      </w:r>
      <w:r>
        <w:t>vermindern.</w:t>
      </w:r>
    </w:p>
    <w:p w:rsidR="00825B6F" w:rsidRDefault="00825B6F" w:rsidP="00693E8F">
      <w:pPr>
        <w:jc w:val="both"/>
      </w:pPr>
      <w:r>
        <w:t>Wenn ein Gegenstand zu Restaurations- oder Ausstellungszwecken bewegt wird, sollte das historische Klima</w:t>
      </w:r>
      <w:r w:rsidR="00AF39CD">
        <w:t xml:space="preserve"> </w:t>
      </w:r>
      <w:r>
        <w:t>so genau wie möglich beibehalten werden. Dies gilt auch für Transport und Lagerung.</w:t>
      </w:r>
    </w:p>
    <w:p w:rsidR="00825B6F" w:rsidRDefault="00825B6F" w:rsidP="00A40C67">
      <w:pPr>
        <w:pStyle w:val="berschrift7"/>
      </w:pPr>
      <w:r>
        <w:t>5.4 Weitere Festlegungen</w:t>
      </w:r>
    </w:p>
    <w:p w:rsidR="00825B6F" w:rsidRDefault="00825B6F" w:rsidP="00693E8F">
      <w:pPr>
        <w:jc w:val="both"/>
      </w:pPr>
      <w:r>
        <w:t>Soll aus welchem Grund auch immer das Innenraum-Mikroklima gegenüber den historischen Bedingungen</w:t>
      </w:r>
      <w:r w:rsidR="00AF39CD">
        <w:t xml:space="preserve"> </w:t>
      </w:r>
      <w:r>
        <w:t xml:space="preserve">verändert werden oder soll ein Gegenstand aus organischen hygroskopischen Materialien in </w:t>
      </w:r>
      <w:r w:rsidR="00AF39CD">
        <w:t>e</w:t>
      </w:r>
      <w:r>
        <w:t>in neues</w:t>
      </w:r>
      <w:r w:rsidR="00AF39CD">
        <w:t xml:space="preserve"> </w:t>
      </w:r>
      <w:r>
        <w:t>Mikroklima überführt werden, sollten Untersuchungen durchgeführt werden, um unter Berücksichtigung der</w:t>
      </w:r>
      <w:r w:rsidR="00AF39CD">
        <w:t xml:space="preserve"> </w:t>
      </w:r>
      <w:r>
        <w:t>Aufbewahrungsgeschichte und der Reaktion des Gegenstands die Anpassungsfähigkeit des Gegenstands an</w:t>
      </w:r>
      <w:r w:rsidR="00AF39CD">
        <w:t xml:space="preserve"> </w:t>
      </w:r>
      <w:r>
        <w:t>die neuen Bedingungen hinsichtlich Lufttemperatur und relative Luftfeuchte zu bewerten. Leider können</w:t>
      </w:r>
      <w:r w:rsidR="00AF39CD">
        <w:t xml:space="preserve"> </w:t>
      </w:r>
      <w:r>
        <w:t>Artefakte den Anschein erwecken, dass sie sich mikroklimatischen Änderungen ohne Beschädigung</w:t>
      </w:r>
      <w:r w:rsidR="00AF39CD">
        <w:t xml:space="preserve"> </w:t>
      </w:r>
      <w:r>
        <w:t>anpassen, dann aber plötzlich und katastrophal versagen (z. B. durch Rissbildung), um aufgebaute</w:t>
      </w:r>
      <w:r w:rsidR="00AF39CD">
        <w:t xml:space="preserve"> </w:t>
      </w:r>
      <w:r>
        <w:t>Dehnungen auszugleichen.</w:t>
      </w:r>
    </w:p>
    <w:p w:rsidR="00825B6F" w:rsidRDefault="00825B6F" w:rsidP="00693E8F">
      <w:pPr>
        <w:jc w:val="both"/>
      </w:pPr>
      <w:r>
        <w:t>Ist aus welchem Grund auch immer eine Änderung des historischen Klimas erforderlich, sollte die Änderung</w:t>
      </w:r>
      <w:r w:rsidR="00AF39CD">
        <w:t xml:space="preserve"> </w:t>
      </w:r>
      <w:r>
        <w:t>der Lufttemperatur und der relativen Luftfeuchte ausreichend langsam erfolgen, um eine schrittweise</w:t>
      </w:r>
      <w:r w:rsidR="00AF39CD">
        <w:t xml:space="preserve"> </w:t>
      </w:r>
      <w:r>
        <w:t>Anpassung zuzulassen. Eine langsame Geschwindigkeit der Änderung der relativen Luftfeuchte vermindert</w:t>
      </w:r>
      <w:r w:rsidR="00AF39CD">
        <w:t xml:space="preserve"> </w:t>
      </w:r>
      <w:r>
        <w:t>Gefälle des Feuchtegehalts über Materialien und damit verbundene unterschiedliche Reaktionen der Maße,</w:t>
      </w:r>
      <w:r w:rsidR="00AF39CD">
        <w:t xml:space="preserve"> </w:t>
      </w:r>
      <w:r>
        <w:t>die zu Dehnungen führen. Darüber hinaus tritt Dehnungsrelaxation auf, wenn der Zeitraum der Änderung der</w:t>
      </w:r>
      <w:r w:rsidR="00AF39CD">
        <w:t xml:space="preserve"> </w:t>
      </w:r>
      <w:r>
        <w:t>relativen Luftfeuchte den Relaxationszeitkonstanten eines Gegenstandes entspricht. Um diese</w:t>
      </w:r>
      <w:r w:rsidR="00AF39CD">
        <w:t xml:space="preserve"> </w:t>
      </w:r>
      <w:r>
        <w:t>Geschwindigkeit festzulegen, sollte eine gründliche Untersuchung der Situation und des Materials</w:t>
      </w:r>
      <w:r w:rsidR="00AF39CD">
        <w:t xml:space="preserve"> </w:t>
      </w:r>
      <w:r>
        <w:t>durchgeführt werden. Es ist auch notwendig, das Objekt während des Zeitraums, in dem die Änderung</w:t>
      </w:r>
      <w:r w:rsidR="00AF39CD">
        <w:t xml:space="preserve"> </w:t>
      </w:r>
      <w:r>
        <w:t>stattfindet, durchgehend zu überwachen. An den Objekten sollte keine Änderung erkennbar sein,</w:t>
      </w:r>
      <w:r w:rsidR="00AF39CD">
        <w:t xml:space="preserve"> </w:t>
      </w:r>
      <w:r>
        <w:t>vorausgesetzt, dass Objekt wurde sorgfältig beurteilt und die Schwankungen von relativer Luftfeuchte und</w:t>
      </w:r>
      <w:r w:rsidR="00AF39CD">
        <w:t xml:space="preserve"> </w:t>
      </w:r>
      <w:r>
        <w:t>Temperatur wurden angemessen geregelt. Selbstverständlich sollten bei Feststellung des Abbaus alle</w:t>
      </w:r>
      <w:r w:rsidR="00AF39CD">
        <w:t xml:space="preserve"> </w:t>
      </w:r>
      <w:r>
        <w:t>stattfindenden Änderungen der relativen Luftfeuchte und der Temperatur umgehend unterbunden und die</w:t>
      </w:r>
      <w:r w:rsidR="00AF39CD">
        <w:t xml:space="preserve"> </w:t>
      </w:r>
      <w:r>
        <w:t>Situation sofort neu bewertet werden.</w:t>
      </w:r>
    </w:p>
    <w:p w:rsidR="00825B6F" w:rsidRDefault="00825B6F" w:rsidP="00A40C67">
      <w:pPr>
        <w:pStyle w:val="berschrift6"/>
      </w:pPr>
      <w:r>
        <w:t>ANHANG A (informativ)</w:t>
      </w:r>
    </w:p>
    <w:p w:rsidR="00825B6F" w:rsidRDefault="00825B6F" w:rsidP="00825B6F">
      <w:r>
        <w:t>Bestimmung der Zielbereiche der relativen Luftfeuchte</w:t>
      </w:r>
    </w:p>
    <w:p w:rsidR="00825B6F" w:rsidRDefault="00825B6F" w:rsidP="00A40C67">
      <w:pPr>
        <w:pStyle w:val="berschrift7"/>
      </w:pPr>
      <w:r>
        <w:t>A.1 Begründung</w:t>
      </w:r>
    </w:p>
    <w:p w:rsidR="00825B6F" w:rsidRDefault="00825B6F" w:rsidP="00693E8F">
      <w:pPr>
        <w:jc w:val="both"/>
      </w:pPr>
      <w:r>
        <w:t>Das Innenraumklima wird durch Mittelwerte sowie die Schwankungen von Temperatur und relativer</w:t>
      </w:r>
      <w:r w:rsidR="00AF39CD">
        <w:t xml:space="preserve"> </w:t>
      </w:r>
      <w:r>
        <w:t>Luftfeuchte bestimmt. Diese werden statistisch dargestellt durch:</w:t>
      </w:r>
    </w:p>
    <w:p w:rsidR="00825B6F" w:rsidRDefault="00825B6F" w:rsidP="00825B6F">
      <w:r>
        <w:t>a) den Mittelwert über eine ausgewählte Dauer, z. B. ein Jahr;</w:t>
      </w:r>
    </w:p>
    <w:p w:rsidR="00825B6F" w:rsidRDefault="00825B6F" w:rsidP="00825B6F">
      <w:r>
        <w:t>b) den jahreszeitlichen Zyklus;</w:t>
      </w:r>
    </w:p>
    <w:p w:rsidR="00825B6F" w:rsidRDefault="00825B6F" w:rsidP="00825B6F">
      <w:r>
        <w:t>c) kurzfristige Schwankungen.</w:t>
      </w:r>
    </w:p>
    <w:p w:rsidR="00825B6F" w:rsidRDefault="00825B6F" w:rsidP="00693E8F">
      <w:pPr>
        <w:jc w:val="both"/>
      </w:pPr>
      <w:r>
        <w:t>Diese Norm empfiehlt die Erhaltung des historischen Klimas, insbesondere hinsichtlich der relativen</w:t>
      </w:r>
      <w:r w:rsidR="00AF39CD">
        <w:t xml:space="preserve"> </w:t>
      </w:r>
      <w:r>
        <w:t>Luftfeuchte, wenn das Objekt für stabil befunden wurde. Die vorgenannten statistischen Größen (d. h. Werte,</w:t>
      </w:r>
      <w:r w:rsidR="00AF39CD">
        <w:t xml:space="preserve"> </w:t>
      </w:r>
      <w:r>
        <w:t>Bereiche, Zyklen und Schwankungen) sollten verwendet werden, um etwaige klimatische Veränderungen und</w:t>
      </w:r>
      <w:r w:rsidR="00AF39CD">
        <w:t xml:space="preserve"> </w:t>
      </w:r>
      <w:r>
        <w:t>gegebenenfalls deren Ausmaß zu verifizieren. Dieselben Größen sollten als Zielbereiche verwendet werden,</w:t>
      </w:r>
      <w:r w:rsidR="00AF39CD">
        <w:t xml:space="preserve"> </w:t>
      </w:r>
      <w:r>
        <w:t>wenn Heizungs-, Lüftungs-, oder Klimaanlagen geplant werden.</w:t>
      </w:r>
    </w:p>
    <w:p w:rsidR="00825B6F" w:rsidRDefault="00825B6F" w:rsidP="00A40C67">
      <w:pPr>
        <w:pStyle w:val="berschrift7"/>
      </w:pPr>
      <w:r>
        <w:t>A.2 Überwachung der Umgebung — Datensatz</w:t>
      </w:r>
    </w:p>
    <w:p w:rsidR="00825B6F" w:rsidRDefault="00825B6F" w:rsidP="00693E8F">
      <w:pPr>
        <w:jc w:val="both"/>
      </w:pPr>
      <w:r>
        <w:t>Der Nachweis des historischen Klimas oder eine Studie, die nachweist, dass das historische Klima sich nicht</w:t>
      </w:r>
      <w:r w:rsidR="00AF39CD">
        <w:t xml:space="preserve"> </w:t>
      </w:r>
      <w:r>
        <w:t>verändert hat, sollte auf einem Programm der Überwachung der Umgebung über einen Zeitraum von einem</w:t>
      </w:r>
      <w:r w:rsidR="00AF39CD">
        <w:t xml:space="preserve"> </w:t>
      </w:r>
      <w:r>
        <w:t>oder mehreren Jahren beruhen. Sofern Langzeitaufzeichnungen verfügbar sind, sollten nur ganzzahlige</w:t>
      </w:r>
      <w:r w:rsidR="00AF39CD">
        <w:t xml:space="preserve"> </w:t>
      </w:r>
      <w:r>
        <w:t>Vielfache eines Kalenderjahres verwendet werden. Diese Statistiken ergeben den Datensatz, auf dem die</w:t>
      </w:r>
      <w:r w:rsidR="00AF39CD">
        <w:t xml:space="preserve"> </w:t>
      </w:r>
      <w:r>
        <w:t>Berechnungen beruhen sollten.</w:t>
      </w:r>
    </w:p>
    <w:p w:rsidR="00825B6F" w:rsidRDefault="00825B6F" w:rsidP="00693E8F">
      <w:pPr>
        <w:jc w:val="both"/>
      </w:pPr>
      <w:r>
        <w:t>Die Zeitspanne zwischen Probemessungen sollte höchstens eine Stunde betragen und an den Zeitmaßstab</w:t>
      </w:r>
      <w:r w:rsidR="00AF39CD">
        <w:t xml:space="preserve"> </w:t>
      </w:r>
      <w:r>
        <w:t>sowie die Dynamik der untersuchten Phänomene angepasst sein, so dass die kürzeste interessierende</w:t>
      </w:r>
      <w:r w:rsidR="00AF39CD">
        <w:t xml:space="preserve"> </w:t>
      </w:r>
      <w:r>
        <w:t>Schwankung gut dokumentiert ist.</w:t>
      </w:r>
    </w:p>
    <w:p w:rsidR="00825B6F" w:rsidRDefault="00825B6F" w:rsidP="00693E8F">
      <w:pPr>
        <w:jc w:val="both"/>
      </w:pPr>
      <w:r>
        <w:t>Die vorgeschlagene Analyse darf allgemein sowohl auf natürliche Klimate in Gebäuden ohne Heizungs-,</w:t>
      </w:r>
      <w:r w:rsidR="00AF39CD">
        <w:t xml:space="preserve"> </w:t>
      </w:r>
      <w:r>
        <w:t>Lüftungs-, oder Klimaanlage als auch auf künstliche Klimate in Gebäuden mit Heizungs-, Lüftungs-, oder</w:t>
      </w:r>
      <w:r w:rsidR="00AF39CD">
        <w:t xml:space="preserve"> </w:t>
      </w:r>
      <w:r>
        <w:t>Klimaanlage angewendet werden. Wurden jedoch Einflüsse dokumentiert, die das Klima übermäßig</w:t>
      </w:r>
      <w:r w:rsidR="00AF39CD">
        <w:t xml:space="preserve"> </w:t>
      </w:r>
      <w:r>
        <w:t>beeinflussen, sollte das Zielklima anhand der Aufzeichnungen der Zeitabschnitte ohne diesen Einfluss</w:t>
      </w:r>
      <w:r w:rsidR="00AF39CD">
        <w:t xml:space="preserve"> </w:t>
      </w:r>
      <w:r>
        <w:t>abgeleitet werden.</w:t>
      </w:r>
    </w:p>
    <w:p w:rsidR="00825B6F" w:rsidRDefault="00825B6F" w:rsidP="00A40C67">
      <w:pPr>
        <w:pStyle w:val="berschrift7"/>
      </w:pPr>
      <w:r>
        <w:t>A.3 Berechnung der Zielgrößen</w:t>
      </w:r>
    </w:p>
    <w:p w:rsidR="00825B6F" w:rsidRDefault="00825B6F" w:rsidP="00A40C67">
      <w:pPr>
        <w:pStyle w:val="berschrift8"/>
      </w:pPr>
      <w:r>
        <w:t>A.3.1 Mittelwert</w:t>
      </w:r>
    </w:p>
    <w:p w:rsidR="00825B6F" w:rsidRDefault="00825B6F" w:rsidP="00693E8F">
      <w:pPr>
        <w:jc w:val="both"/>
      </w:pPr>
      <w:r>
        <w:t>Dieser Wert wird als das arithmetische Mittel der Messwerte der relativen Luftfeuchte bestimmt, d. h. als die</w:t>
      </w:r>
      <w:r w:rsidR="00AF39CD">
        <w:t xml:space="preserve"> </w:t>
      </w:r>
      <w:r>
        <w:t>Summe aller Messwerte, dividiert durch die Anzahl der Messungen. Die erste nützliche Bezugsgröße ist das</w:t>
      </w:r>
      <w:r w:rsidR="00AF39CD">
        <w:t xml:space="preserve"> </w:t>
      </w:r>
      <w:r>
        <w:t>Jahresmittel. Die zweite ist die Reihe der Monatsmittel. Der jahreszeitliche Zyklus (siehe unten) dient der</w:t>
      </w:r>
      <w:r w:rsidR="00AF39CD">
        <w:t xml:space="preserve"> </w:t>
      </w:r>
      <w:r>
        <w:t>Interpolation der Reihe der Monatsmittel.</w:t>
      </w:r>
    </w:p>
    <w:p w:rsidR="00825B6F" w:rsidRDefault="00825B6F" w:rsidP="00A40C67">
      <w:pPr>
        <w:pStyle w:val="berschrift8"/>
      </w:pPr>
      <w:r>
        <w:t>A.3.2 Jahreszeitlicher Zyklus</w:t>
      </w:r>
    </w:p>
    <w:p w:rsidR="00825B6F" w:rsidRDefault="00825B6F" w:rsidP="00693E8F">
      <w:pPr>
        <w:jc w:val="both"/>
      </w:pPr>
      <w:r>
        <w:t>Dieser Zyklus wird durch Berechnung bestimmt, indem für jeden Messwert der zentrale gleitende Mittelwert</w:t>
      </w:r>
      <w:r w:rsidR="00AF39CD">
        <w:t xml:space="preserve"> </w:t>
      </w:r>
      <w:r>
        <w:t>(MA, en: moving average) berechnet wird, bei dem es sich um das arithmetische Mittel aller Messwerte der</w:t>
      </w:r>
      <w:r w:rsidR="00AF39CD">
        <w:t xml:space="preserve"> </w:t>
      </w:r>
      <w:r>
        <w:t>relativen Luftfeuchte handelt, die innerhalb eines Zeitraums von 30 Tagen bestimmt wurden, wobei dieser aus</w:t>
      </w:r>
      <w:r w:rsidR="00AF39CD">
        <w:t xml:space="preserve"> </w:t>
      </w:r>
      <w:r>
        <w:t>15 Tagen vor sowie 15 Tagen nach dem Zeitpunkt, an dem der Mittelwert berechnet wurde, besteht. Daher</w:t>
      </w:r>
      <w:r w:rsidR="00AF39CD">
        <w:t xml:space="preserve"> </w:t>
      </w:r>
      <w:r>
        <w:t>stehen für die ersten und die letzten 15 Tage der Probemessungen keine für eine derartige Berechnung</w:t>
      </w:r>
      <w:r w:rsidR="00AF39CD">
        <w:t xml:space="preserve"> </w:t>
      </w:r>
      <w:r>
        <w:t>ausreichenden Datensätze zur Verfügung. Daher sollte, wenn der gleitende Mittelwert für ein ganzes</w:t>
      </w:r>
      <w:r w:rsidR="00AF39CD">
        <w:t xml:space="preserve"> </w:t>
      </w:r>
      <w:r>
        <w:t>Kalenderjahr erforderlich ist, der Zeitraum der Probemessungen um (15 + 15 = 30) Tage erweitert werden,</w:t>
      </w:r>
      <w:r w:rsidR="00AF39CD">
        <w:t xml:space="preserve"> </w:t>
      </w:r>
      <w:r>
        <w:t>und die Überwachung sollte einen Zeitraum von insgesamt 395 Tagen abdecken. Werden beispielsweise</w:t>
      </w:r>
      <w:r w:rsidR="00AF39CD">
        <w:t xml:space="preserve"> </w:t>
      </w:r>
      <w:r>
        <w:t>Messwerte der relativen Luftfeuchte stündlich aufgezeichnet, werden (24 × 15 = 360) Werte in einem jeweils</w:t>
      </w:r>
      <w:r w:rsidR="00AF39CD">
        <w:t xml:space="preserve"> </w:t>
      </w:r>
      <w:r>
        <w:t>15tägigen Zeitraum vor und nach der momentanen Messung aufgezeichnet. Dazu sollte die momentane</w:t>
      </w:r>
      <w:r w:rsidR="00AF39CD">
        <w:t xml:space="preserve"> </w:t>
      </w:r>
      <w:r>
        <w:t>Messung addiert werden. Dies ergibt insgesamt 360 × 2 + 1 = 721. Der gleitende Mittelwert (MA) für diese</w:t>
      </w:r>
    </w:p>
    <w:p w:rsidR="00825B6F" w:rsidRDefault="00825B6F" w:rsidP="00825B6F">
      <w:r>
        <w:t>Messung beträgt:</w:t>
      </w:r>
    </w:p>
    <w:p w:rsidR="00825B6F" w:rsidRDefault="00825B6F" w:rsidP="00825B6F">
      <w:r>
        <w:t>MAmomentan = (RHmomentan + RHmomentan−1 + ... + RHmomentan−360 + RHmomentan+1 + ... + RHmomentan+360)/721</w:t>
      </w:r>
    </w:p>
    <w:p w:rsidR="00825B6F" w:rsidRDefault="00825B6F" w:rsidP="00825B6F">
      <w:r>
        <w:t>Dabei ist</w:t>
      </w:r>
    </w:p>
    <w:p w:rsidR="00825B6F" w:rsidRDefault="00825B6F" w:rsidP="00825B6F">
      <w:r>
        <w:t>RHmomentan, RHmomentan−1 usw. der momentane Messwert der relativen Luftfeuchte, der vorherige Wert</w:t>
      </w:r>
    </w:p>
    <w:p w:rsidR="00825B6F" w:rsidRDefault="00825B6F" w:rsidP="00825B6F">
      <w:r>
        <w:t>usw.</w:t>
      </w:r>
    </w:p>
    <w:p w:rsidR="00825B6F" w:rsidRDefault="00825B6F" w:rsidP="00825B6F">
      <w:r>
        <w:t>Der gleitende Mittelwert (MA) glättet die kurzzeitigen Schwankungen und betont längerfristigere Trends oder</w:t>
      </w:r>
      <w:r w:rsidR="00AF39CD">
        <w:t xml:space="preserve"> </w:t>
      </w:r>
      <w:r>
        <w:t>Zyklen.</w:t>
      </w:r>
    </w:p>
    <w:p w:rsidR="00825B6F" w:rsidRDefault="00825B6F" w:rsidP="00A40C67">
      <w:pPr>
        <w:pStyle w:val="berschrift8"/>
      </w:pPr>
      <w:r>
        <w:t>A.3.3 Kurzzeit-Schwankungen</w:t>
      </w:r>
    </w:p>
    <w:p w:rsidR="00825B6F" w:rsidRDefault="00825B6F" w:rsidP="00693E8F">
      <w:pPr>
        <w:jc w:val="both"/>
      </w:pPr>
      <w:r>
        <w:t>Eine Schwankung wird als Differenz zwischen einem momentanen Messwert der relativen Luftfeuchte und</w:t>
      </w:r>
      <w:r w:rsidR="00AF39CD">
        <w:t xml:space="preserve"> </w:t>
      </w:r>
      <w:r>
        <w:t>einem 30tägigen gleitenden Mittelwert berechnet, der wie oben beschrieben für diesen Messwert berechnet</w:t>
      </w:r>
      <w:r w:rsidR="00AF39CD">
        <w:t xml:space="preserve"> </w:t>
      </w:r>
      <w:r>
        <w:t>wurde. Somit werden sowohl die natürlichen jahreszeitlichen Sch</w:t>
      </w:r>
      <w:r w:rsidR="00AF39CD">
        <w:t>wankungen als auch die Dehnungs-</w:t>
      </w:r>
      <w:r>
        <w:t>relaxations-Zeitkonstante der Materialien berücksichtigt.</w:t>
      </w:r>
    </w:p>
    <w:p w:rsidR="00825B6F" w:rsidRDefault="00825B6F" w:rsidP="00A40C67">
      <w:pPr>
        <w:pStyle w:val="berschrift7"/>
      </w:pPr>
      <w:r>
        <w:t>A.4 Bestimmung des Zielbereiches</w:t>
      </w:r>
    </w:p>
    <w:p w:rsidR="00825B6F" w:rsidRDefault="00825B6F" w:rsidP="00693E8F">
      <w:pPr>
        <w:jc w:val="both"/>
      </w:pPr>
      <w:r>
        <w:t>Falls die relative Luftfeuchte stabil ist, besteht keine Notwendigkeit zur Änderung der Umgebung. Falls die</w:t>
      </w:r>
      <w:r w:rsidR="00AF39CD">
        <w:t xml:space="preserve"> </w:t>
      </w:r>
      <w:r>
        <w:t>relative Luftfeuchte nicht stabil ist, werden die obere und die untere Grenze des Bereiches als das 7. bzw. 93.</w:t>
      </w:r>
    </w:p>
    <w:p w:rsidR="00825B6F" w:rsidRDefault="00825B6F" w:rsidP="00693E8F">
      <w:pPr>
        <w:jc w:val="both"/>
      </w:pPr>
      <w:r>
        <w:t>Perzentil der während der Überwachungsdauer aufgezeichneten Schwankungen berechnet. Folgen die</w:t>
      </w:r>
      <w:r w:rsidR="00AF39CD">
        <w:t xml:space="preserve"> </w:t>
      </w:r>
      <w:r>
        <w:t>Schwankungen einer Gauss'schen Verteilung, entsprechen diese Grenzen einer Standardabweichung von</w:t>
      </w:r>
    </w:p>
    <w:p w:rsidR="00825B6F" w:rsidRDefault="00825B6F" w:rsidP="00693E8F">
      <w:pPr>
        <w:jc w:val="both"/>
      </w:pPr>
      <w:r>
        <w:t>−1,5 bzw. +1,5. Bei jeder Verteilung wird das 7. bzw. 93. Perzentil ermittelt, indem die Schwankungswerte</w:t>
      </w:r>
      <w:r w:rsidR="00AF39CD">
        <w:t xml:space="preserve"> </w:t>
      </w:r>
      <w:r>
        <w:t>vom geringsten negativen Wert bis zum höchsten positiven Wert geordnet und die Werte ausgewählt werden,</w:t>
      </w:r>
    </w:p>
    <w:p w:rsidR="00825B6F" w:rsidRDefault="00825B6F" w:rsidP="00693E8F">
      <w:pPr>
        <w:jc w:val="both"/>
      </w:pPr>
      <w:r>
        <w:t>unter denen 7 % bzw. 93 % der Messwerte liegen. Dadurch werden 14 % der größten und risikoreichsten</w:t>
      </w:r>
      <w:r w:rsidR="00AF39CD">
        <w:t xml:space="preserve"> </w:t>
      </w:r>
      <w:r>
        <w:t>Schwankungen ausgeschlossen, wobei die Begrenzungen gleichermaßen auf die höchsten Spitzen und die</w:t>
      </w:r>
      <w:r w:rsidR="00AF39CD">
        <w:t xml:space="preserve"> </w:t>
      </w:r>
      <w:r>
        <w:t>niedrigsten Werte der relativen Luftfeuchte angewendet werden, die in übermäßig feuchten oder trockenen</w:t>
      </w:r>
      <w:r w:rsidR="00AF39CD">
        <w:t xml:space="preserve"> </w:t>
      </w:r>
      <w:r>
        <w:t>Umgebungen auftreten.</w:t>
      </w:r>
    </w:p>
    <w:p w:rsidR="00825B6F" w:rsidRDefault="00825B6F" w:rsidP="00693E8F">
      <w:pPr>
        <w:jc w:val="both"/>
      </w:pPr>
      <w:r>
        <w:t>Wenn jedoch das vorstehende Verfahren ergibt, dass die Schwankungen der relativen Luftfeuchte um</w:t>
      </w:r>
      <w:r w:rsidR="00AF39CD">
        <w:t xml:space="preserve"> </w:t>
      </w:r>
      <w:r>
        <w:t>weniger als 10 % des jahreszeitlichen Wertes der relativen Luftfeuchte abweichen, wird der berechnete</w:t>
      </w:r>
      <w:r w:rsidR="00AF39CD">
        <w:t xml:space="preserve"> </w:t>
      </w:r>
      <w:r>
        <w:t>Grenzwert als unnötig streng angesehen und kann vernachlässigt werden.</w:t>
      </w:r>
      <w:r w:rsidR="00AF39CD">
        <w:t xml:space="preserve"> Stattdessen kann der Schwellen</w:t>
      </w:r>
      <w:r>
        <w:t>wert der relativen Luftfeuchte von 10 % unter der Verantwortung eines qualifizierten Erhaltungsfachmanns</w:t>
      </w:r>
      <w:r w:rsidR="00AF39CD">
        <w:t xml:space="preserve"> </w:t>
      </w:r>
      <w:r>
        <w:t>zulässig sein.</w:t>
      </w:r>
    </w:p>
    <w:p w:rsidR="00825B6F" w:rsidRDefault="00825B6F" w:rsidP="00693E8F">
      <w:pPr>
        <w:jc w:val="both"/>
      </w:pPr>
      <w:r>
        <w:t>Dieses Verfahren sollte einmal verwendet werden. Wiederholte Verwendung wird zu unnötiger Begrenzung</w:t>
      </w:r>
      <w:r w:rsidR="00AF39CD">
        <w:t xml:space="preserve"> </w:t>
      </w:r>
      <w:r>
        <w:t>des Zielbereiches führen.</w:t>
      </w:r>
    </w:p>
    <w:p w:rsidR="00825B6F" w:rsidRDefault="00825B6F" w:rsidP="00A40C67">
      <w:pPr>
        <w:pStyle w:val="berschrift7"/>
      </w:pPr>
      <w:r>
        <w:t>A.5 Beispiel</w:t>
      </w:r>
    </w:p>
    <w:p w:rsidR="00825B6F" w:rsidRDefault="00825B6F" w:rsidP="00693E8F">
      <w:pPr>
        <w:jc w:val="both"/>
      </w:pPr>
      <w:r>
        <w:t>Ein praktisches Beispiel aus einer Echtfallstudie ist nachfolgend angegeben, um das Verfahren zu erläutern.</w:t>
      </w:r>
    </w:p>
    <w:p w:rsidR="00825B6F" w:rsidRDefault="00825B6F" w:rsidP="00693E8F">
      <w:pPr>
        <w:jc w:val="both"/>
      </w:pPr>
      <w:r>
        <w:t>Die Bilder A.1 bis A.3 zeigen Beispieldarstellungen, die mit dem beschriebenen Verfahren erreicht wurden.</w:t>
      </w:r>
    </w:p>
    <w:p w:rsidR="00825B6F" w:rsidRDefault="00825B6F" w:rsidP="00693E8F">
      <w:pPr>
        <w:jc w:val="both"/>
      </w:pPr>
      <w:r>
        <w:t>Die Bilder dienen ausschließlich Informationszwecken, und die besonderen Eigenschaften des dargestellten</w:t>
      </w:r>
      <w:r w:rsidR="00AF39CD">
        <w:t xml:space="preserve"> </w:t>
      </w:r>
      <w:r>
        <w:t>historischen Klimas werden nicht beurteilt.</w:t>
      </w:r>
    </w:p>
    <w:p w:rsidR="00825B6F" w:rsidRDefault="00825B6F" w:rsidP="00693E8F">
      <w:pPr>
        <w:jc w:val="both"/>
      </w:pPr>
      <w:r>
        <w:t>ANMERKUNG Das Jahresmittel der relativen Luftfeuchte wird durch eine waagerechte Linie gekennzeichnet.</w:t>
      </w:r>
    </w:p>
    <w:p w:rsidR="00825B6F" w:rsidRDefault="00825B6F" w:rsidP="00A40C67">
      <w:pPr>
        <w:jc w:val="center"/>
      </w:pPr>
      <w:r>
        <w:rPr>
          <w:noProof/>
          <w:lang w:val="de-AT" w:eastAsia="de-AT"/>
        </w:rPr>
        <w:drawing>
          <wp:inline distT="0" distB="0" distL="0" distR="0" wp14:anchorId="1DB88A50" wp14:editId="1BE500A5">
            <wp:extent cx="3371353" cy="2247566"/>
            <wp:effectExtent l="0" t="0" r="635" b="63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8157" t="18142" r="58231" b="10146"/>
                    <a:stretch/>
                  </pic:blipFill>
                  <pic:spPr bwMode="auto">
                    <a:xfrm>
                      <a:off x="0" y="0"/>
                      <a:ext cx="3378097" cy="2252062"/>
                    </a:xfrm>
                    <a:prstGeom prst="rect">
                      <a:avLst/>
                    </a:prstGeom>
                    <a:ln>
                      <a:noFill/>
                    </a:ln>
                    <a:extLst>
                      <a:ext uri="{53640926-AAD7-44D8-BBD7-CCE9431645EC}">
                        <a14:shadowObscured xmlns:a14="http://schemas.microsoft.com/office/drawing/2010/main"/>
                      </a:ext>
                    </a:extLst>
                  </pic:spPr>
                </pic:pic>
              </a:graphicData>
            </a:graphic>
          </wp:inline>
        </w:drawing>
      </w:r>
    </w:p>
    <w:p w:rsidR="00825B6F" w:rsidRDefault="00825B6F" w:rsidP="00693E8F">
      <w:pPr>
        <w:jc w:val="both"/>
      </w:pPr>
      <w:r>
        <w:t>Bild A.1 — Während eines Jahres bestimmte Messwerte der relativen Luftfeuchte (die zackenförmige schwarze Linie) und ein jahreszeitlicher Zyklus der relativen Luftfeuchte (graue Linie), die durch Berechnung des 30tägigen zentralen gleitenden Mittelwertes der Messungen erzielt wurden</w:t>
      </w:r>
    </w:p>
    <w:p w:rsidR="00825B6F" w:rsidRDefault="00825B6F" w:rsidP="00A40C67">
      <w:pPr>
        <w:jc w:val="center"/>
        <w:rPr>
          <w:highlight w:val="yellow"/>
        </w:rPr>
      </w:pPr>
      <w:r>
        <w:rPr>
          <w:noProof/>
          <w:lang w:val="de-AT" w:eastAsia="de-AT"/>
        </w:rPr>
        <w:drawing>
          <wp:inline distT="0" distB="0" distL="0" distR="0" wp14:anchorId="4466E92E" wp14:editId="39E6BF4D">
            <wp:extent cx="3132814" cy="2218569"/>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5945" t="13717" r="58508" b="5717"/>
                    <a:stretch/>
                  </pic:blipFill>
                  <pic:spPr bwMode="auto">
                    <a:xfrm>
                      <a:off x="0" y="0"/>
                      <a:ext cx="3139047" cy="2222983"/>
                    </a:xfrm>
                    <a:prstGeom prst="rect">
                      <a:avLst/>
                    </a:prstGeom>
                    <a:ln>
                      <a:noFill/>
                    </a:ln>
                    <a:extLst>
                      <a:ext uri="{53640926-AAD7-44D8-BBD7-CCE9431645EC}">
                        <a14:shadowObscured xmlns:a14="http://schemas.microsoft.com/office/drawing/2010/main"/>
                      </a:ext>
                    </a:extLst>
                  </pic:spPr>
                </pic:pic>
              </a:graphicData>
            </a:graphic>
          </wp:inline>
        </w:drawing>
      </w:r>
    </w:p>
    <w:p w:rsidR="00825B6F" w:rsidRDefault="00825B6F" w:rsidP="00A40C67">
      <w:pPr>
        <w:jc w:val="center"/>
        <w:rPr>
          <w:highlight w:val="yellow"/>
        </w:rPr>
      </w:pPr>
      <w:r>
        <w:rPr>
          <w:noProof/>
          <w:lang w:val="de-AT" w:eastAsia="de-AT"/>
        </w:rPr>
        <w:drawing>
          <wp:inline distT="0" distB="0" distL="0" distR="0" wp14:anchorId="3C6ACBC4" wp14:editId="5F2AEA40">
            <wp:extent cx="2711395" cy="2257394"/>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1199" t="15043" r="59062" b="5717"/>
                    <a:stretch/>
                  </pic:blipFill>
                  <pic:spPr bwMode="auto">
                    <a:xfrm>
                      <a:off x="0" y="0"/>
                      <a:ext cx="2717318" cy="2262325"/>
                    </a:xfrm>
                    <a:prstGeom prst="rect">
                      <a:avLst/>
                    </a:prstGeom>
                    <a:ln>
                      <a:noFill/>
                    </a:ln>
                    <a:extLst>
                      <a:ext uri="{53640926-AAD7-44D8-BBD7-CCE9431645EC}">
                        <a14:shadowObscured xmlns:a14="http://schemas.microsoft.com/office/drawing/2010/main"/>
                      </a:ext>
                    </a:extLst>
                  </pic:spPr>
                </pic:pic>
              </a:graphicData>
            </a:graphic>
          </wp:inline>
        </w:drawing>
      </w:r>
    </w:p>
    <w:p w:rsidR="00825B6F" w:rsidRPr="00825B6F" w:rsidRDefault="00825B6F" w:rsidP="00825B6F">
      <w:pPr>
        <w:rPr>
          <w:highlight w:val="yellow"/>
        </w:rPr>
      </w:pPr>
    </w:p>
    <w:p w:rsidR="008757D5" w:rsidRPr="00A40C67" w:rsidRDefault="008757D5" w:rsidP="00825B6F">
      <w:pPr>
        <w:pStyle w:val="berschrift5"/>
      </w:pPr>
      <w:r w:rsidRPr="00A40C67">
        <w:t>15759</w:t>
      </w:r>
      <w:r w:rsidR="00777F53" w:rsidRPr="00A40C67">
        <w:t>-1</w:t>
      </w:r>
      <w:r w:rsidRPr="00A40C67">
        <w:t xml:space="preserve"> Erhaltung des kulturellen Erbes – Raumklima – Teil 1: Leitfäden für die Beheizung von Andachtsstätten </w:t>
      </w:r>
      <w:r w:rsidRPr="00A40C67">
        <w:fldChar w:fldCharType="begin"/>
      </w:r>
      <w:r w:rsidRPr="00A40C67">
        <w:instrText xml:space="preserve"> ADDIN EN.CITE &lt;EndNote&gt;&lt;Cite&gt;&lt;Author&gt;EN&lt;/Author&gt;&lt;Year&gt;2012&lt;/Year&gt;&lt;RecNum&gt;6369&lt;/RecNum&gt;&lt;DisplayText&gt;(EN, 2012)&lt;/DisplayText&gt;&lt;record&gt;&lt;rec-number&gt;6369&lt;/rec-number&gt;&lt;foreign-keys&gt;&lt;key app="EN" db-id="zxrx2rspbdeppzeza5fv0e03vdwxr5svazdr" timestamp="1393856361"&gt;6369&lt;/key&gt;&lt;key app="ENWeb" db-id=""&gt;0&lt;/key&gt;&lt;/foreign-keys&gt;&lt;ref-type name="Journal Article"&gt;17&lt;/ref-type&gt;&lt;contributors&gt;&lt;authors&gt;&lt;author&gt;DIN EN&lt;/author&gt;&lt;/authors&gt;&lt;/contributors&gt;&lt;titles&gt;&lt;title&gt;DIN EN 15759-1 Erhaltung des kulturellen Erbes – Raumklima – Teil 1: Leitfäden für die Beheizung von Andachtsstätten&lt;/title&gt;&lt;/titles&gt;&lt;dates&gt;&lt;year&gt;2012&lt;/year&gt;&lt;/dates&gt;&lt;urls&gt;&lt;/urls&gt;&lt;/record&gt;&lt;/Cite&gt;&lt;/EndNote&gt;</w:instrText>
      </w:r>
      <w:r w:rsidRPr="00A40C67">
        <w:fldChar w:fldCharType="separate"/>
      </w:r>
      <w:r w:rsidRPr="00A40C67">
        <w:rPr>
          <w:noProof/>
        </w:rPr>
        <w:t>(</w:t>
      </w:r>
      <w:hyperlink w:anchor="_ENREF_4" w:tooltip="EN, 2012 #6369" w:history="1">
        <w:r w:rsidR="00C64325" w:rsidRPr="00A40C67">
          <w:rPr>
            <w:noProof/>
          </w:rPr>
          <w:t>EN, 2012</w:t>
        </w:r>
      </w:hyperlink>
      <w:r w:rsidRPr="00A40C67">
        <w:rPr>
          <w:noProof/>
        </w:rPr>
        <w:t>)</w:t>
      </w:r>
      <w:r w:rsidRPr="00A40C67">
        <w:fldChar w:fldCharType="end"/>
      </w:r>
    </w:p>
    <w:p w:rsidR="00236310" w:rsidRDefault="00236310" w:rsidP="00A40C67">
      <w:pPr>
        <w:pStyle w:val="berschrift6"/>
      </w:pPr>
      <w:r>
        <w:t>6 Spezifikationen für das Raumklima</w:t>
      </w:r>
    </w:p>
    <w:p w:rsidR="00236310" w:rsidRDefault="00236310" w:rsidP="00A40C67">
      <w:pPr>
        <w:pStyle w:val="berschrift7"/>
      </w:pPr>
      <w:r>
        <w:t>6.1 Festsetzung des geeigneten Raumklimas</w:t>
      </w:r>
    </w:p>
    <w:p w:rsidR="00236310" w:rsidRDefault="00236310" w:rsidP="00693E8F">
      <w:pPr>
        <w:jc w:val="both"/>
      </w:pPr>
      <w:r>
        <w:t>Um das geeignete Raumklima aus konservatorischer Sicht und im Hinblick auf die thermische Behaglichkeit zu ermitteln, sind die folgenden Schritte zu unternehmen:</w:t>
      </w:r>
    </w:p>
    <w:p w:rsidR="00236310" w:rsidRDefault="00236310" w:rsidP="00236310">
      <w:r>
        <w:t>a) Feststellung des historischen Raumklimas;</w:t>
      </w:r>
    </w:p>
    <w:p w:rsidR="00236310" w:rsidRDefault="00236310" w:rsidP="00236310">
      <w:r>
        <w:t>b) Festsetzung einer Raumklima-Spezifikation aus konservatorischer Sicht;</w:t>
      </w:r>
    </w:p>
    <w:p w:rsidR="00236310" w:rsidRDefault="00236310" w:rsidP="00236310">
      <w:r>
        <w:t>c) Festsetzung einer Raumklima-Spezifikation für thermische Behaglichkeit;</w:t>
      </w:r>
    </w:p>
    <w:p w:rsidR="00236310" w:rsidRDefault="00236310" w:rsidP="00236310">
      <w:r>
        <w:t>d) Herstellung eines Kompromisses zwischen b) und c), soweit erforderlich.</w:t>
      </w:r>
    </w:p>
    <w:p w:rsidR="00236310" w:rsidRDefault="00236310" w:rsidP="00693E8F">
      <w:pPr>
        <w:jc w:val="both"/>
      </w:pPr>
      <w:r>
        <w:t>Es ist grundsätzlich notwendig, ein interdisziplinäres Team von Spezialisten zu Rate zu ziehen, damit die gesamte Spannweite dieser Aufgabenstellung abgedeckt werden kann. Es muss volle Einsicht darin herrschen, dass ohne eine richtige Untersuchung der Verhältnisse in der Vergangenheit und die sorgfältige Festlegung der angestrebten Raumklima-Spezifikationen die nächsten Schritte des Gesamtprozesses, nämlich Beheizungsart und Heizungssystem, nicht ohne Risiken in Angriff genommen werden können.</w:t>
      </w:r>
    </w:p>
    <w:p w:rsidR="00236310" w:rsidRDefault="00236310" w:rsidP="00A40C67">
      <w:pPr>
        <w:pStyle w:val="berschrift7"/>
      </w:pPr>
      <w:r>
        <w:t>6.2 Feststellen des historischen Raumklimas</w:t>
      </w:r>
    </w:p>
    <w:p w:rsidR="00236310" w:rsidRDefault="00236310" w:rsidP="0096109A">
      <w:pPr>
        <w:jc w:val="both"/>
      </w:pPr>
      <w:r>
        <w:t>Um das historische Raumklima innerhalb des Bauwerks festzustellen, sind Messungen von Temperatur und relativer Luftfeuchte nach EN 15758 und prEN 16242 über einen Zeitraum von mindestens einem Jahr vorzunehmen und aufzuzeichnen. Eventuelle Aufzeichnungen aus früheren Jahren sind mit zu berücksichtigen. Als Bezugsrahmen sind ähnliche Messungen über den gleichen Zeitraum für die äußeren Bedingungen vorzunehmen und/oder meteorologische Daten heranzuziehen.</w:t>
      </w:r>
    </w:p>
    <w:p w:rsidR="00236310" w:rsidRDefault="00236310" w:rsidP="00A40C67">
      <w:pPr>
        <w:pStyle w:val="berschrift7"/>
      </w:pPr>
      <w:r>
        <w:t>6.3 Raumklima-Spezifikationen aus konservatorischer Sicht</w:t>
      </w:r>
    </w:p>
    <w:p w:rsidR="00236310" w:rsidRDefault="00236310" w:rsidP="00A40C67">
      <w:pPr>
        <w:pStyle w:val="berschrift8"/>
      </w:pPr>
      <w:r>
        <w:t>6.3.1 Allgemeines</w:t>
      </w:r>
    </w:p>
    <w:p w:rsidR="00236310" w:rsidRDefault="00236310" w:rsidP="0096109A">
      <w:pPr>
        <w:jc w:val="both"/>
      </w:pPr>
      <w:r>
        <w:t>Dieser Abschnitt beschreibt eine Vorgehensweise, um eine Raumklima-Spezifikation aus konservatorischer Sicht zu ermitteln. Je nach Erkenntnissen des Zustandsgutachtens muss bei der Spezifikation für jedes Bauwerk eine große Anzahl von Materialien und Materialkombinationen berücksichtigt werden, und zwar sowohl im Hinblick auf das Gebäude selbst als auch auf das, was sich darin befindet, wofür oft Fachleute zu Rate gezogen werden müssen.</w:t>
      </w:r>
    </w:p>
    <w:p w:rsidR="00236310" w:rsidRDefault="00236310" w:rsidP="00A40C67">
      <w:pPr>
        <w:pStyle w:val="berschrift8"/>
      </w:pPr>
      <w:r>
        <w:t>6.3.2 Relative Luftfeuchte</w:t>
      </w:r>
    </w:p>
    <w:p w:rsidR="00236310" w:rsidRDefault="00236310" w:rsidP="0096109A">
      <w:pPr>
        <w:jc w:val="both"/>
      </w:pPr>
      <w:r>
        <w:t>Aus konservatorischer Sicht ist die relative Luftfeuchte stets der kritischste Parameter; sie muss daher auf einem bestimmten Niveau und so konstant wie möglich gehalten werden. Die relative Luftfeuchte hängt sowohl von der Temperatur als auch vom Feuchtegehalt der Luft ab. Dabei muss die Tatsache Beachtung finden, dass die relative Luftfeuchte in der unmittelbaren Nähe von Oberflächen durch die Oberflächentemperatur bestimmt wird, die von der gemittelten Raumtemperatur erheblich abweichen kann.</w:t>
      </w:r>
    </w:p>
    <w:p w:rsidR="00236310" w:rsidRDefault="00236310" w:rsidP="0096109A">
      <w:pPr>
        <w:jc w:val="both"/>
      </w:pPr>
      <w:r>
        <w:t>Einen Sollwertbereich für das Gebäude festzulegen bedeutet, die im Folgenden aufgelisteten Schritte und Fragen zu berücksichtigen und dann eine Anzahl von Sollwertbereichen zu einem gemeinsamen Bereich zu vereinen. Zur Festlegung des endgültigen Sollwertbereichs sind Fachleute zu Rate zu ziehen.</w:t>
      </w:r>
    </w:p>
    <w:p w:rsidR="00236310" w:rsidRDefault="00236310" w:rsidP="0096109A">
      <w:pPr>
        <w:jc w:val="both"/>
      </w:pPr>
      <w:r>
        <w:t>a) Festsetzung eines Sollwertbereichs für die Schwankungen der relativen Luftfeuchte nach EN 15757, um klimainduzierte mechanische Schäden in organischen hygroskopischen Materialien zu begrenzen;</w:t>
      </w:r>
    </w:p>
    <w:p w:rsidR="00236310" w:rsidRDefault="00236310" w:rsidP="0096109A">
      <w:pPr>
        <w:jc w:val="both"/>
      </w:pPr>
      <w:r>
        <w:t>b) für andere Materialien als die in EN 15757 genannten, wie z. B. Metalle und Glas, und auch wenn Salzausblühungen vorhanden sind, muss ein Fachmann herangezogen werden, um den Sollwertbereich festzulegen;</w:t>
      </w:r>
    </w:p>
    <w:p w:rsidR="00236310" w:rsidRDefault="00236310" w:rsidP="0096109A">
      <w:pPr>
        <w:jc w:val="both"/>
      </w:pPr>
      <w:r>
        <w:t>c) die zulässige Veränderungsrate der relativen Luftfeuchte muss von einem Fachmann festgelegt werden.</w:t>
      </w:r>
    </w:p>
    <w:p w:rsidR="00236310" w:rsidRDefault="00236310" w:rsidP="0096109A">
      <w:pPr>
        <w:jc w:val="both"/>
      </w:pPr>
      <w:r>
        <w:t>Rasche Wechsel in der relativen Luftfeuchte führen zu Gradienten im Feuchtegehalt innerhalb von Materialien und zu entsprechenden differentiellen Ausdehnungsreaktionen, was zu Spannungszuständen führt. Langsame Wechsel in der relativen Luftfeuchte verursachen eine gleichmäßigere Feuchtigkeitsverteilung innerhalb des Materials, sind aber gleichwohl Anlass zu einer gesamtheitlichen Ausdehnungsänderung, die zu Spannungsaufbau in Gegenständen und in Oberflächenschichten führen kann, die in ihrer Bewegung eingeschränkt sind;</w:t>
      </w:r>
    </w:p>
    <w:p w:rsidR="00236310" w:rsidRDefault="00236310" w:rsidP="0096109A">
      <w:pPr>
        <w:jc w:val="both"/>
      </w:pPr>
      <w:r>
        <w:t>d) Festsetzung einer Obergrenze der relativen Luftfeuchte, um biologischem Zerfall wie Schimmel, Holzfäule, Insekten usw. vorzubeugen. Es ist zu beachten, dass biologische Zerfallsprozesse von einer Kombination der Parameter von relativen Luftfeuchte, Temperatur und noch anderen Faktoren abhängen;</w:t>
      </w:r>
    </w:p>
    <w:p w:rsidR="00236310" w:rsidRDefault="00236310" w:rsidP="0096109A">
      <w:pPr>
        <w:jc w:val="both"/>
      </w:pPr>
      <w:r>
        <w:t>e) Festsetzung einer Untergrenze für die relative Luftfeuchte, da manche Materialien bei geringer relativer Luftfeuchte spröde werden; die Untergrenze ist in Bezug auf das empfindlichste Material oder die empfindlichste Materialkombination in dem Gebäude festzusetzen;</w:t>
      </w:r>
    </w:p>
    <w:p w:rsidR="00236310" w:rsidRDefault="00236310" w:rsidP="0096109A">
      <w:pPr>
        <w:jc w:val="both"/>
      </w:pPr>
      <w:r>
        <w:t>f) die Zerfallsrate durch chemische Prozesse wie Korrosion, Oxidation und Hydrolyse steigt mit der relativen Luftfeuchte. Für den Fall, dass nach den vorangehenden Schritten noch Spielraum besteht, ist einem trockeneren Raumklima der Vorzug zu geben.</w:t>
      </w:r>
    </w:p>
    <w:p w:rsidR="00236310" w:rsidRDefault="00236310" w:rsidP="0096109A">
      <w:pPr>
        <w:pStyle w:val="berschrift8"/>
      </w:pPr>
      <w:r>
        <w:t>6.3.3 Temperatur</w:t>
      </w:r>
    </w:p>
    <w:p w:rsidR="00236310" w:rsidRDefault="00236310" w:rsidP="0096109A">
      <w:pPr>
        <w:jc w:val="both"/>
      </w:pPr>
      <w:r>
        <w:t>Die Temperatur selbst kann einen direkten Einfluss auf die Erhaltung von Gegenständen des Kulturerbes haben, und sie hat eine indirekte Auswirkung auf die relative Luftfeuchte.</w:t>
      </w:r>
    </w:p>
    <w:p w:rsidR="00236310" w:rsidRDefault="00236310" w:rsidP="0096109A">
      <w:pPr>
        <w:jc w:val="both"/>
      </w:pPr>
      <w:r>
        <w:t>a) Temperaturen müssen möglicherweise angepasst werden, um die Erfordernisse des Luftfeuchtigkeits-werts erfüllen zu können;</w:t>
      </w:r>
    </w:p>
    <w:p w:rsidR="00236310" w:rsidRDefault="00236310" w:rsidP="0096109A">
      <w:pPr>
        <w:jc w:val="both"/>
      </w:pPr>
      <w:r>
        <w:t>b) die Temperatur empfindlicher Oberflächen muss oberhalb des Taupunktes gehalten werden, um Kondensation zu vermeiden. Sind hygroskopische Salze vorhanden, vor allem in Wänden, so kann der Feuchte-gehalt der Materialien sich dadurch unabhängig vom Taupunkt erhöhen;</w:t>
      </w:r>
    </w:p>
    <w:p w:rsidR="00236310" w:rsidRDefault="00236310" w:rsidP="0096109A">
      <w:pPr>
        <w:jc w:val="both"/>
      </w:pPr>
      <w:r>
        <w:t>c) falls eine Gefahr besteht, dass Wasserleitungen einfrieren, oder falls nicht frostfeste Gebäudeteile feuchtigkeitsbelastet sind, so ist für die gefährdeten Bereiche eine Mindesttemperatur festzusetzen. Die Mindesttemperatur muss in jedem Falle so festgelegt werden, dass ein ausreichender Sicherheitsspielraum behalten wird;</w:t>
      </w:r>
    </w:p>
    <w:p w:rsidR="00236310" w:rsidRDefault="00236310" w:rsidP="0096109A">
      <w:pPr>
        <w:jc w:val="both"/>
      </w:pPr>
      <w:r>
        <w:t>d) die Zerfallsrate durch chemische Prozesse steigt grundsätzlich mit der Temperatur an. Für den Fall, dass nach den vorangehenden Schritten noch Spielraum besteht, ist einem kühleren Raumklima der Vorzug zu geben.</w:t>
      </w:r>
    </w:p>
    <w:p w:rsidR="00236310" w:rsidRDefault="00236310" w:rsidP="00A40C67">
      <w:pPr>
        <w:pStyle w:val="berschrift8"/>
      </w:pPr>
      <w:r>
        <w:t>6.3.4 Luftbewegung</w:t>
      </w:r>
    </w:p>
    <w:p w:rsidR="00236310" w:rsidRDefault="00236310" w:rsidP="0096109A">
      <w:pPr>
        <w:jc w:val="both"/>
      </w:pPr>
      <w:r>
        <w:t>Luftbewegung entsteht durch Heizsysteme oder durch Luftwechsel (siehe 5.4). Alle Heizsysteme verursachen ein bestimmtes Maß an Luftbewegung, und zwar einmal direkt durch Konvektion, die von den Wärmequellen ausgeht, und zum anderen indirekt durch Temperaturunterschiede zwischen der Luft und den Oberflächen der Gebäudehülle. Die Luftbewegung muss auf ein Minimum beschränkt bleiben, denn sie kann die Ablagerungsrate von Staub und Schmutz sowie das Risiko von Schäden durch Salzkristallisation auf Gebäudeoberflächen erhöhen.</w:t>
      </w:r>
    </w:p>
    <w:p w:rsidR="00590EDF" w:rsidRDefault="00590EDF" w:rsidP="00FB112A">
      <w:pPr>
        <w:pStyle w:val="berschrift7"/>
      </w:pPr>
      <w:r>
        <w:t>6.4 Raumklima-Spezifikationen für thermische Behaglichkeit</w:t>
      </w:r>
    </w:p>
    <w:p w:rsidR="00590EDF" w:rsidRDefault="00590EDF" w:rsidP="00FB112A">
      <w:pPr>
        <w:pStyle w:val="berschrift8"/>
      </w:pPr>
      <w:r>
        <w:t>6.4.1 Allgemeines</w:t>
      </w:r>
    </w:p>
    <w:p w:rsidR="00590EDF" w:rsidRDefault="00590EDF" w:rsidP="0096109A">
      <w:pPr>
        <w:jc w:val="both"/>
      </w:pPr>
      <w:r>
        <w:t>Im Alltag akzeptieren Menschen unterschiedliche Niveaus thermischer Behaglichkeit. Lufttemperatur, Strahlungstemperatur, Luftfeuchtigkeit, Luftbewegung, Aktivität, Bekleidung und persönliche Vorlieben sind alles Faktoren, die die thermische Behaglichkeit von Menschen beeinflussen. Anforderungen an thermische Behaglichkeit im Allgemeinen sind in EN ISO 7730 wiedergegeben. Allerdings gibt es keine Normen, die sich speziell auf die Behaglichkeit in Andachtsstätten beziehen. Da die Kriterien für Behaglichkeit im Konflikt mit den Kriterien für Erhaltung stehen können, können die allgemeinen Normen für thermische Behaglichkeit nicht automatisch auf Andachtsstätten übertragen werden.</w:t>
      </w:r>
    </w:p>
    <w:p w:rsidR="00236310" w:rsidRDefault="00590EDF" w:rsidP="0096109A">
      <w:pPr>
        <w:jc w:val="both"/>
      </w:pPr>
      <w:r>
        <w:t>Die Spezifikation für thermischen Komfort in einer Andachtsstätte muss von Fall zu Fall im Hinblick auf relative Luftfeuchte, Temperatur und Luftbewegung festgelegt werden.</w:t>
      </w:r>
    </w:p>
    <w:p w:rsidR="00590EDF" w:rsidRDefault="00590EDF" w:rsidP="00FB112A">
      <w:pPr>
        <w:pStyle w:val="berschrift8"/>
      </w:pPr>
      <w:r>
        <w:t>6.4.2 Relative Luftfeuchte</w:t>
      </w:r>
    </w:p>
    <w:p w:rsidR="00590EDF" w:rsidRDefault="00590EDF" w:rsidP="0096109A">
      <w:pPr>
        <w:jc w:val="both"/>
      </w:pPr>
      <w:r>
        <w:t>Betrachtet man nur die thermische Behaglichkeit, so soll die relative Luftfeuchte im Bereich zwischen 30 % und 80 % liegen.</w:t>
      </w:r>
    </w:p>
    <w:p w:rsidR="00590EDF" w:rsidRDefault="00590EDF" w:rsidP="00FB112A">
      <w:pPr>
        <w:pStyle w:val="berschrift8"/>
      </w:pPr>
      <w:r>
        <w:t>6.4.3 Temperatur</w:t>
      </w:r>
    </w:p>
    <w:p w:rsidR="00590EDF" w:rsidRDefault="00590EDF" w:rsidP="0096109A">
      <w:pPr>
        <w:jc w:val="both"/>
      </w:pPr>
      <w:r>
        <w:t>Die thermische Behaglichkeit wird beeinflusst durch die Lufttemperatur, den Austausch von Strahlungswärme mit umgebenden kalten oder warmen Oberflächen und den Strömungsaustausch mit der umgebenden Luft.</w:t>
      </w:r>
    </w:p>
    <w:p w:rsidR="00590EDF" w:rsidRDefault="00590EDF" w:rsidP="0096109A">
      <w:pPr>
        <w:jc w:val="both"/>
      </w:pPr>
      <w:r>
        <w:t>Warme Kleidung sowie die Anwesenheit anderer Nutzer reduzieren den Wärmeverlust des Körpers, so dass weniger Heizung benötigt wird. Ein Mensch kann sich in Bezug auf den gesamten Körper thermisch behaglich fühlen, aber die Behaglichkeit wäre beeinträchtigt, wenn ein Teil des Körpers warm und ein anderer kalt wäre.</w:t>
      </w:r>
    </w:p>
    <w:p w:rsidR="00590EDF" w:rsidRDefault="00590EDF" w:rsidP="0096109A">
      <w:pPr>
        <w:jc w:val="both"/>
      </w:pPr>
      <w:r>
        <w:t>Man zieht neutrale oder warme Füße, Beine und Hände und ein neutrales oder kühles Gesicht dem umgekehrten Fall vor.</w:t>
      </w:r>
    </w:p>
    <w:p w:rsidR="00590EDF" w:rsidRDefault="00590EDF" w:rsidP="00FB112A">
      <w:pPr>
        <w:pStyle w:val="berschrift8"/>
      </w:pPr>
      <w:r>
        <w:t>6.4.4 Luftbewegung</w:t>
      </w:r>
    </w:p>
    <w:p w:rsidR="00590EDF" w:rsidRDefault="00590EDF" w:rsidP="0096109A">
      <w:pPr>
        <w:jc w:val="both"/>
      </w:pPr>
      <w:r>
        <w:t>Luftbewegung kann sich, wenn die Luft kühl oder kalt ist, nachteilig auf die thermische Behaglichkeit auswirken. Folglich muss die Luftbewegung auf ein Minimum beschränkt bleiben.</w:t>
      </w:r>
    </w:p>
    <w:p w:rsidR="00590EDF" w:rsidRDefault="00590EDF" w:rsidP="00FB112A">
      <w:pPr>
        <w:pStyle w:val="berschrift7"/>
      </w:pPr>
      <w:r>
        <w:t>6.5 Kompromiss zwischen thermischer Behaglichkeit und konservatorischen Anforderungen</w:t>
      </w:r>
    </w:p>
    <w:p w:rsidR="00590EDF" w:rsidRDefault="00590EDF" w:rsidP="0096109A">
      <w:pPr>
        <w:jc w:val="both"/>
      </w:pPr>
      <w:r>
        <w:t>In manchen Andachtsstätten, wo entweder die konservatorischen Anforderungen oder die thermische Behaglichkeit für sich die hauptsächliche Priorität darstellen, wird die Spezifikation des Raumklimas in Übereinstimmung mit entweder 6.3 oder 6.4 festgesetzt werden. In den meisten Andachtsstätten müssen sowohl die konservatorischen, als auch die Behaglichkeitsanforderungen zusammen betrachtet werden, da ein behagliches Temperaturniveau in Konflikt zu den konservatorischen Erfordernissen stehen kann. Ein Kompromiss ist oft notwendig, wobei die konservatorischen Erfordernisse Priorität genießen müssen. Es sind folgende Schritte zu unternehmen:</w:t>
      </w:r>
    </w:p>
    <w:p w:rsidR="00590EDF" w:rsidRDefault="00590EDF" w:rsidP="0096109A">
      <w:pPr>
        <w:jc w:val="both"/>
      </w:pPr>
      <w:r>
        <w:t>a) man vergleiche die Spezifikationen aus konservatorischer Sicht und für thermische Behaglichkeit und stelle fest, in welchen Bereichen Konflikte bestehen. Zum Beispiel kann ein Beheizen für Behaglichkeit im Winter zu einem Wert der relativen Luftfeuchte führen, der aus konservatorischer Sicht zu niedrig ist;</w:t>
      </w:r>
    </w:p>
    <w:p w:rsidR="00590EDF" w:rsidRDefault="00590EDF" w:rsidP="0096109A">
      <w:pPr>
        <w:jc w:val="both"/>
      </w:pPr>
      <w:r>
        <w:t>b) man finde mögliche Lösungen;</w:t>
      </w:r>
    </w:p>
    <w:p w:rsidR="00590EDF" w:rsidRDefault="00590EDF" w:rsidP="0096109A">
      <w:pPr>
        <w:jc w:val="both"/>
      </w:pPr>
      <w:r>
        <w:t>c) Bewertung der verschiedenen Lösungen im Hinblick auf ihre Auswirkungen auf konservatorische Belange und auf die thermische Behaglichkeit.</w:t>
      </w:r>
    </w:p>
    <w:p w:rsidR="00590EDF" w:rsidRDefault="00590EDF" w:rsidP="0096109A">
      <w:pPr>
        <w:jc w:val="both"/>
      </w:pPr>
      <w:r>
        <w:t>Die während der Andachten geforderte Temperatur ist der Schlüsselparameter, um einen Kompromiss zu finden. Eine geringere Temperatur wird grundsätzlich die konservatorischen Bedingungen verbessern. Mit geeigneter Kleidung und einer begrenzten Aufenthaltsdauer gibt es keine feste Untergrenze für die Temperatur in Hinblick auf thermische Behaglichkeit. Wenn davon ausgegangen werden kann, dass Nutzer Kleidung tragen, wie sie für die zeitgleichen Verhältnisse im Freien geeignet ist, dann können die Beheizung verringert und die konservatorischen Bedingungen verbessert werden. Diese Norm spricht sich für eine</w:t>
      </w:r>
    </w:p>
    <w:p w:rsidR="00590EDF" w:rsidRDefault="00590EDF" w:rsidP="0096109A">
      <w:pPr>
        <w:jc w:val="both"/>
      </w:pPr>
      <w:r>
        <w:t>Begrenzung des Bereichs der thermischen Behaglichkeit auf ein „neutrales“ Gefühl bis „ein wenig kühl“ aus, was einer mittleren Hauttemperatur im Bereich von 30°C bis 33°C entspricht (EN ISO 11079:2007).</w:t>
      </w:r>
    </w:p>
    <w:p w:rsidR="00590EDF" w:rsidRDefault="00590EDF" w:rsidP="00FB112A">
      <w:pPr>
        <w:pStyle w:val="berschrift7"/>
      </w:pPr>
      <w:r>
        <w:t>10 Schlussbeurteilung</w:t>
      </w:r>
    </w:p>
    <w:p w:rsidR="00590EDF" w:rsidRDefault="00590EDF" w:rsidP="0096109A">
      <w:pPr>
        <w:jc w:val="both"/>
      </w:pPr>
      <w:r>
        <w:t>Jegliche Veränderung des Raumklimas, der Beheizungsart oder des Heizsystems ist abschließend zu beurteilen, um sicherzustellen, dass die Ziele in Bezug auf Erhaltung und Behaglichkeit erreicht worden sind. Im Rahmen einer solchen Beurteilung ist festzustellen, ob die gewünschten Klimabedingungen erreicht wurden und ob die Maßnahme an den Gegenständen des Kulturerbes irgendwelchen Schaden verursacht hat. Das Ausmaß und die Tiefe der Beurteilung müssen in jedem Fall von einer Gruppe unabhängiger qualifizierter</w:t>
      </w:r>
    </w:p>
    <w:p w:rsidR="00590EDF" w:rsidRDefault="00590EDF" w:rsidP="0096109A">
      <w:pPr>
        <w:jc w:val="both"/>
      </w:pPr>
      <w:r>
        <w:t>Experten festgelegt werden. In der Regel muss eine Schlussbeurteilung Messungen des Raumklimas und der Reaktion von Gegenständen und Bauwerk über einen Zeitraum von einem Jahr, besser länger, vorsehen.</w:t>
      </w:r>
    </w:p>
    <w:p w:rsidR="00590EDF" w:rsidRDefault="00590EDF" w:rsidP="0096109A">
      <w:pPr>
        <w:jc w:val="both"/>
      </w:pPr>
      <w:r>
        <w:t>Auch eine Befragung der Nutzer und eine Untersuchung des Bauwerks und dessen, was sich darin befindet müssen dazugehören, um jegliche Reaktionen auf die Veränderungen zu erfassen.</w:t>
      </w:r>
    </w:p>
    <w:p w:rsidR="00590EDF" w:rsidRPr="00236310" w:rsidRDefault="00590EDF" w:rsidP="0096109A">
      <w:pPr>
        <w:jc w:val="both"/>
        <w:rPr>
          <w:highlight w:val="yellow"/>
        </w:rPr>
      </w:pPr>
      <w:r>
        <w:t>Die erste Beurteilung muss schon bald nach der Installation stattfinden, und eine zweite innerhalb von ein bis drei Jahren danach vorgenommen werden.</w:t>
      </w:r>
    </w:p>
    <w:p w:rsidR="00BF0A4A" w:rsidRPr="00FB112A" w:rsidRDefault="00777F53" w:rsidP="00207BFF">
      <w:pPr>
        <w:pStyle w:val="berschrift5"/>
      </w:pPr>
      <w:r w:rsidRPr="00FB112A">
        <w:t xml:space="preserve">15759-2 Erhaltung des kulturellen Erbes – Raumklima – Teil 2: Lüftung für den Schutz von Gebäuden und Sammlungen des kulturellen Erbes </w:t>
      </w:r>
      <w:r w:rsidRPr="00FB112A">
        <w:fldChar w:fldCharType="begin"/>
      </w:r>
      <w:r w:rsidR="00F24764">
        <w:instrText xml:space="preserve"> ADDIN EN.CITE &lt;EndNote&gt;&lt;Cite&gt;&lt;Author&gt;DIN&lt;/Author&gt;&lt;Year&gt;2016&lt;/Year&gt;&lt;RecNum&gt;11399&lt;/RecNum&gt;&lt;DisplayText&gt;(EN, 2016)&lt;/DisplayText&gt;&lt;record&gt;&lt;rec-number&gt;11399&lt;/rec-number&gt;&lt;foreign-keys&gt;&lt;key app="EN" db-id="zxrx2rspbdeppzeza5fv0e03vdwxr5svazdr" timestamp="1455201920"&gt;11399&lt;/key&gt;&lt;key app="ENWeb" db-id=""&gt;0&lt;/key&gt;&lt;/foreign-keys&gt;&lt;ref-type name="Journal Article"&gt;17&lt;/ref-type&gt;&lt;contributors&gt;&lt;authors&gt;&lt;author&gt;DIN EN&lt;/author&gt;&lt;/authors&gt;&lt;/contributors&gt;&lt;titles&gt;&lt;title&gt;DIN EN 15759-2 Entwurf Erhaltung des kulturellen Erbes - Raumklima - Teil 2: Lüftung für den Schutz von Gebäuden und Sammlungen des kulturellen Erbes&lt;/title&gt;&lt;/titles&gt;&lt;dates&gt;&lt;year&gt;2016&lt;/year&gt;&lt;/dates&gt;&lt;urls&gt;&lt;/urls&gt;&lt;/record&gt;&lt;/Cite&gt;&lt;/EndNote&gt;</w:instrText>
      </w:r>
      <w:r w:rsidRPr="00FB112A">
        <w:fldChar w:fldCharType="separate"/>
      </w:r>
      <w:r w:rsidR="00F24764">
        <w:rPr>
          <w:noProof/>
        </w:rPr>
        <w:t>(</w:t>
      </w:r>
      <w:hyperlink w:anchor="_ENREF_5" w:tooltip="EN, 2016 #11399" w:history="1">
        <w:r w:rsidR="00C64325">
          <w:rPr>
            <w:noProof/>
          </w:rPr>
          <w:t>EN, 2016</w:t>
        </w:r>
      </w:hyperlink>
      <w:r w:rsidR="00F24764">
        <w:rPr>
          <w:noProof/>
        </w:rPr>
        <w:t>)</w:t>
      </w:r>
      <w:r w:rsidRPr="00FB112A">
        <w:fldChar w:fldCharType="end"/>
      </w:r>
    </w:p>
    <w:p w:rsidR="00590EDF" w:rsidRDefault="00590EDF" w:rsidP="00FB112A">
      <w:pPr>
        <w:pStyle w:val="berschrift6"/>
      </w:pPr>
      <w:r>
        <w:t>Einleitung</w:t>
      </w:r>
    </w:p>
    <w:p w:rsidR="00590EDF" w:rsidRDefault="00590EDF" w:rsidP="0096109A">
      <w:pPr>
        <w:jc w:val="both"/>
      </w:pPr>
      <w:r>
        <w:t>Das Ziel der Lüftungsstrategie in einem Gebäude des Kulturerbes ist das Sicherstellen der optimalen Erhaltung des Gebäudes und seiner Sammlungen. Sollten Anforderungen an die Behaglichkeit für Menschen und die Konservierung in Widerspruch zueinander stehen, muss eine fallspezifische Lösung gesucht werden, wobei die Integrität des Gebäudes gewahrt wird. Das Raumklima ist ein entscheidender Faktor für die Konservierung der Bausubstanz von Gebäuden des Kulturerbes und ihres Inhalts oder verschiedener Objekte und Sammlungen von Kunst und Kunstgewerbe, die im Gebäudeinneren ausgestellt oder gelagert werden. Ein ungeeignetes Raumklima kann zu erheblichen Schäden führen.</w:t>
      </w:r>
    </w:p>
    <w:p w:rsidR="00590EDF" w:rsidRDefault="00590EDF" w:rsidP="0096109A">
      <w:pPr>
        <w:jc w:val="both"/>
      </w:pPr>
      <w:r>
        <w:t>Das Raumklima in Gebäuden des Kulturerbes wird durch die Schwankungen des Außenklimas und die Eigenschaften der Gebäudehülle beeinflusst: Luftdichtheit, Dämmung und hygrothermische Pufferung. Die Gebäudenutzung, z. B. das Öffnen von Türen und Fenstern, die Anwesenheit von Besuchern, das Heizen für die Sicherstellung der Behaglichkeit für Menschen oder die Beleuchtung mit Glühlampen beeinflussen ebenfalls das Raumklima. Die Regelung des Niveaus von extern und intern erzeugten Schadstoffen ist ein weiterer Bestandteil einer geeigneten Raumluftbeschaffenheit.</w:t>
      </w:r>
    </w:p>
    <w:p w:rsidR="00590EDF" w:rsidRDefault="00590EDF" w:rsidP="0096109A">
      <w:pPr>
        <w:jc w:val="both"/>
      </w:pPr>
      <w:r>
        <w:t>Der Luftaustausch und die Luftzirkulation sind deshalb wichtige Glieder bei der Bereitstellung einer für die Konservierung geeigneten Innenraumumgebung. Das Ziel dieser Norm ist die Beschreibung von Verfahren für die Regelung der Lüftung zum Schutz von Gebäuden und Sammlungen des kulturellen Erbes.</w:t>
      </w:r>
    </w:p>
    <w:p w:rsidR="00590EDF" w:rsidRDefault="00590EDF" w:rsidP="0096109A">
      <w:pPr>
        <w:jc w:val="both"/>
      </w:pPr>
      <w:r>
        <w:t>Diese Norm ist für die Anwendung durch Gebäudeeigentümer, Behörden und Fachleute, die an der Konservierung und Modernisierung von historisch, architektonisch und kulturhistorisch wertvollen Gebäuden oder von Gebäuden, die Sammlungen beherbergen, beteiligt sind. Sie zielt auf die Erleichterung des nachhaltigen Managements dieser Gebäude ab, indem sie Maßnahmen für die energiebezogene Leistung und die Verringerung der Treibhausgasemissionen, gemeinsam mit dem sachgerechten Schutz von Gebäuden und Sammlungen, einbezieht.</w:t>
      </w:r>
    </w:p>
    <w:p w:rsidR="00590EDF" w:rsidRDefault="00590EDF" w:rsidP="00FB112A">
      <w:pPr>
        <w:pStyle w:val="berschrift6"/>
      </w:pPr>
      <w:r>
        <w:t>6 Analyse von lüftungsbezogenen Risiken</w:t>
      </w:r>
    </w:p>
    <w:p w:rsidR="00590EDF" w:rsidRDefault="00590EDF" w:rsidP="00FB112A">
      <w:pPr>
        <w:pStyle w:val="berschrift7"/>
      </w:pPr>
      <w:r>
        <w:t>6.1 Allgemeines</w:t>
      </w:r>
    </w:p>
    <w:p w:rsidR="00590EDF" w:rsidRDefault="00590EDF" w:rsidP="0096109A">
      <w:pPr>
        <w:jc w:val="both"/>
      </w:pPr>
      <w:r>
        <w:t>Lüftung ist ein wirksamer Mechanismus der Verteilung, Abführung oder Zufuhr von Wärme, Feuchte, gasförmigen und partikelförmigen Schadstoffen, einschließlich Bakterien und Schimmelpilzsporen. Das bedeutet, dass die Folgen der Lüftung positiv oder negativ sein können und der Einsatz der Lüftung sollte sorgfältig untersucht, umgesetzt, gesteuert und verifiziert werden, um die Vorteile zu nutzen und ernsthafte Risiken für die Erhaltung aufgrund einer schlecht geplanten Nutzung zu verhindern.</w:t>
      </w:r>
    </w:p>
    <w:p w:rsidR="00590EDF" w:rsidRDefault="00590EDF" w:rsidP="0096109A">
      <w:pPr>
        <w:jc w:val="both"/>
      </w:pPr>
      <w:r>
        <w:t>Risiken können durch übermäßige oder unzureichende Lüftung verursacht werden.</w:t>
      </w:r>
    </w:p>
    <w:p w:rsidR="00590EDF" w:rsidRDefault="00590EDF" w:rsidP="00FB112A">
      <w:pPr>
        <w:pStyle w:val="berschrift7"/>
      </w:pPr>
      <w:r>
        <w:t>6.2 Lüftungsbezogene Risiken</w:t>
      </w:r>
    </w:p>
    <w:p w:rsidR="00590EDF" w:rsidRDefault="00590EDF" w:rsidP="00FB112A">
      <w:pPr>
        <w:pStyle w:val="berschrift8"/>
      </w:pPr>
      <w:r>
        <w:t>6.2.1 Übermäßige Schwankungen der relativen Luftfeuchte</w:t>
      </w:r>
    </w:p>
    <w:p w:rsidR="00590EDF" w:rsidRDefault="00590EDF" w:rsidP="0096109A">
      <w:pPr>
        <w:jc w:val="both"/>
      </w:pPr>
      <w:r>
        <w:t>Ungeregelte natürliche Belüftung kann zu Schwankungen der relativen Luftfeuchte in Räumen in zu starkem Ausmaß und Häufigkeit führen (siehe EN 15757 als Leitfaden für Festlegungen zur Temperatur und relativen Luftfeuchte und deren Schwankungen zur Begrenzung klimabedingter physischer Beschädigungen an Objekten, die feuchteempfindliche Materialen enthalten).</w:t>
      </w:r>
    </w:p>
    <w:p w:rsidR="00590EDF" w:rsidRDefault="00590EDF" w:rsidP="00FB112A">
      <w:pPr>
        <w:pStyle w:val="berschrift8"/>
      </w:pPr>
      <w:r>
        <w:t>6.2.2 Hohe relative Luftfeuchte</w:t>
      </w:r>
    </w:p>
    <w:p w:rsidR="00590EDF" w:rsidRDefault="00590EDF" w:rsidP="0096109A">
      <w:pPr>
        <w:jc w:val="both"/>
      </w:pPr>
      <w:r>
        <w:t>In Gebäuden mit erheblichen inneren Feuchtequellen, einschließlich großer Besucherströme, kann geringer Luftaustausch zu einer hohen relativen Luftfeuchte führen, die das Risiko von Schimmelpilzwachstum, Salzdeliqueszenz und -hydratation, hydrolysedominiertem Abbau von Metalloxidation und -korrosion oder von anderen Mechanismen des Abbaus bewirken.</w:t>
      </w:r>
    </w:p>
    <w:p w:rsidR="00590EDF" w:rsidRDefault="00590EDF" w:rsidP="00FB112A">
      <w:pPr>
        <w:pStyle w:val="berschrift7"/>
      </w:pPr>
      <w:r>
        <w:t>6.2.3 Niedrige relative Luftfeuchte</w:t>
      </w:r>
    </w:p>
    <w:p w:rsidR="00590EDF" w:rsidRDefault="00590EDF" w:rsidP="0096109A">
      <w:pPr>
        <w:jc w:val="both"/>
      </w:pPr>
      <w:r>
        <w:t>Im Winter kann ein übermäßiges Einströmen kalter Luft, die eine begrenzte Wasserdampfmenge enthält, in ein beheiztes Gebäude, zu erheblichem Absinken der relativen Luftfeuchte in Innenräumen führen. Eine niedrige relative Luftfeuchte ist verantwortlich für oder steht in Zusammenhang zu mehreren Mechanismen des Abbaus, die Kulturerbeobjekte beeinträchtigen. Trockene Umgebungen werden staubig und erhöhen die elektrostatische Ablagerung. Hygroskopische Materialien wie Holz, Papier, Textilien, Leder oder Knochen setzen als Reaktion auf ein Absinken der relativen Luftfeuchte Feuchte frei, was die Schrumpfung der Materialien hervorruft, die zu Spannungen und physischen Schäden wie Bruch oder Verformung führt.</w:t>
      </w:r>
    </w:p>
    <w:p w:rsidR="00590EDF" w:rsidRDefault="00590EDF" w:rsidP="00FB112A">
      <w:pPr>
        <w:pStyle w:val="berschrift7"/>
      </w:pPr>
      <w:r>
        <w:t>6.2.4 Kondensation von Feuchte</w:t>
      </w:r>
    </w:p>
    <w:p w:rsidR="00590EDF" w:rsidRDefault="00590EDF" w:rsidP="0096109A">
      <w:pPr>
        <w:jc w:val="both"/>
      </w:pPr>
      <w:r>
        <w:t>Kondensation von Feuchte tritt aufgrund des Zusammentreffens zweier Faktoren auf: niedrige Oberflächentemperaturen und ein hohes Luftfeuchte-Mischungsverhältnis der Luft, z. B. Kondensation im Frühling – aufgrund eines ungeregelten Einströmens warmer, feuchter Außenluft in eine Innenumgebung, die nach dem Winter immer noch kalt ist, was ein Merkmal von Stein- oder Ziegelgebäuden mit signifikanter thermischer Trägheit ist (siehe EN ISO 13788 für die Berechnung der raumseitigen Oberflächentemperatur von Bauteilen oder Bauelementen, unterhalb der ein Befall durch Schimmel bei der gegebenen Innentemperatur und relativer Luftfeuchte wahrscheinlich ist.</w:t>
      </w:r>
    </w:p>
    <w:p w:rsidR="00590EDF" w:rsidRDefault="00590EDF" w:rsidP="00FB112A">
      <w:pPr>
        <w:pStyle w:val="berschrift7"/>
      </w:pPr>
      <w:r>
        <w:t>6.2.5 Salzschaden</w:t>
      </w:r>
    </w:p>
    <w:p w:rsidR="00590EDF" w:rsidRDefault="00590EDF" w:rsidP="0096109A">
      <w:pPr>
        <w:jc w:val="both"/>
      </w:pPr>
      <w:r>
        <w:t>Durch übermäßige Lüftung erzeugte Luftströmungen über Wandoberflächen können die Verdunstung erhöhen und die Kristallisation von Salzen fördern.</w:t>
      </w:r>
    </w:p>
    <w:p w:rsidR="00590EDF" w:rsidRDefault="00590EDF" w:rsidP="00FB112A">
      <w:pPr>
        <w:pStyle w:val="berschrift7"/>
      </w:pPr>
      <w:r>
        <w:t>6.2.6 Schädigende Wirkungen von Schadstoffen</w:t>
      </w:r>
    </w:p>
    <w:p w:rsidR="00590EDF" w:rsidRDefault="00590EDF" w:rsidP="0096109A">
      <w:pPr>
        <w:jc w:val="both"/>
      </w:pPr>
      <w:r>
        <w:t>Es wird allgemein anerkannt, dass die Quellen der wichtigsten gasförmigen Luftschadstoffe und Partikel sowohl im Außen- als auch im Innenbereich liegen können. Schlecht gesteuerte Lüftung kann einerseits ein ungeregeltes Einströmen von Partikeln aus der Außenumgebung verursachen und andererseits in der Innenumgebung erzeugte Partikel unwirksam abführen.</w:t>
      </w:r>
    </w:p>
    <w:p w:rsidR="00590EDF" w:rsidRDefault="00590EDF" w:rsidP="0096109A">
      <w:pPr>
        <w:jc w:val="both"/>
      </w:pPr>
      <w:r>
        <w:t xml:space="preserve">Ferner können durch übermäßige Lüftung erzeugte Luftströmungen, die über Wandoberflächen verlaufen, die Ablagerung von Partikeln erhöhen und auf diese Weise das Anschmutzen fördern. </w:t>
      </w:r>
    </w:p>
    <w:p w:rsidR="008F1DDA" w:rsidRDefault="008F1DDA" w:rsidP="00FB112A">
      <w:pPr>
        <w:pStyle w:val="berschrift6"/>
      </w:pPr>
      <w:r>
        <w:t>Anhang A</w:t>
      </w:r>
    </w:p>
    <w:p w:rsidR="008F1DDA" w:rsidRPr="008F1DDA" w:rsidRDefault="008F1DDA" w:rsidP="008F1DDA">
      <w:r w:rsidRPr="008F1DDA">
        <w:t>(informativ)</w:t>
      </w:r>
    </w:p>
    <w:p w:rsidR="008F1DDA" w:rsidRPr="008F1DDA" w:rsidRDefault="008F1DDA" w:rsidP="00FB112A">
      <w:pPr>
        <w:pStyle w:val="berschrift7"/>
      </w:pPr>
      <w:r w:rsidRPr="008F1DDA">
        <w:t>Begründung</w:t>
      </w:r>
    </w:p>
    <w:p w:rsidR="008F1DDA" w:rsidRPr="008F1DDA" w:rsidRDefault="008F1DDA" w:rsidP="0096109A">
      <w:pPr>
        <w:jc w:val="both"/>
      </w:pPr>
      <w:r w:rsidRPr="008F1DDA">
        <w:t>Die Anwendung der Norm wird in diesem Anhang durch zwei Praxisbeispiele veranschaulicht: anhand eines</w:t>
      </w:r>
      <w:r>
        <w:t xml:space="preserve"> </w:t>
      </w:r>
      <w:r w:rsidRPr="008F1DDA">
        <w:t>Gebäudes des Kulturerbes, das ein Museum mit einer gemischten Sammlung beherbergt, und einer</w:t>
      </w:r>
      <w:r>
        <w:t xml:space="preserve"> </w:t>
      </w:r>
      <w:r w:rsidRPr="008F1DDA">
        <w:t>modernen Lagereinrichtung für Archiv- und Bibliotheksmaterialien, die eine passive Klimaregelung</w:t>
      </w:r>
      <w:r>
        <w:t xml:space="preserve"> </w:t>
      </w:r>
      <w:r w:rsidRPr="008F1DDA">
        <w:t>verwendet.</w:t>
      </w:r>
    </w:p>
    <w:p w:rsidR="008F1DDA" w:rsidRPr="008F1DDA" w:rsidRDefault="008F1DDA" w:rsidP="0096109A">
      <w:pPr>
        <w:jc w:val="both"/>
      </w:pPr>
      <w:r w:rsidRPr="008F1DDA">
        <w:t>Ein Gebäude des Kulturerbes, das ein Museum mit einer gemischten Sammlung beherbergt</w:t>
      </w:r>
      <w:r>
        <w:t xml:space="preserve"> </w:t>
      </w:r>
      <w:r w:rsidRPr="008F1DDA">
        <w:t>Für ein Museum wurde entschieden, eine mit Heizschlangen ausgerüstete mechanische Lüftungsanlage</w:t>
      </w:r>
      <w:r>
        <w:t xml:space="preserve"> </w:t>
      </w:r>
      <w:r w:rsidRPr="008F1DDA">
        <w:t>einzubauen, um die Behaglichkeit für Besucher und das Museumspersonal zu verbessern, weil wiederholt</w:t>
      </w:r>
      <w:r>
        <w:t xml:space="preserve"> </w:t>
      </w:r>
      <w:r w:rsidRPr="008F1DDA">
        <w:t>Beschwerden bezüglich der Geruchsqualität der Luft während des Sommers – wenn die Besucherdichte hoch</w:t>
      </w:r>
      <w:r>
        <w:t xml:space="preserve"> </w:t>
      </w:r>
      <w:r w:rsidRPr="008F1DDA">
        <w:t>ist – sowie bezüglich niedriger Temperaturen während des Winters zur Kenntnis genommen wurden.</w:t>
      </w:r>
    </w:p>
    <w:p w:rsidR="008F1DDA" w:rsidRPr="008F1DDA" w:rsidRDefault="008F1DDA" w:rsidP="0096109A">
      <w:pPr>
        <w:jc w:val="both"/>
      </w:pPr>
      <w:r w:rsidRPr="008F1DDA">
        <w:t xml:space="preserve">Da die Erhaltung der Museumssammlung ein wichtiges Ziel ist, wurde die </w:t>
      </w:r>
      <w:r>
        <w:t xml:space="preserve"> K</w:t>
      </w:r>
      <w:r w:rsidRPr="008F1DDA">
        <w:t>onservierungsabteilung</w:t>
      </w:r>
      <w:r>
        <w:t xml:space="preserve"> </w:t>
      </w:r>
      <w:r w:rsidRPr="008F1DDA">
        <w:t>aufgefordert, die Hauptrisiken für die Sammlung sowie mögliche Verbesserungen in Zusammenhang mit</w:t>
      </w:r>
      <w:r>
        <w:t xml:space="preserve"> </w:t>
      </w:r>
      <w:r w:rsidRPr="008F1DDA">
        <w:t>dem Einbau einer Lüftungsanlage festzustellen und geeignete Lösungen vorzuschlagen.</w:t>
      </w:r>
    </w:p>
    <w:p w:rsidR="008F1DDA" w:rsidRPr="008F1DDA" w:rsidRDefault="008F1DDA" w:rsidP="0096109A">
      <w:pPr>
        <w:jc w:val="both"/>
      </w:pPr>
      <w:r w:rsidRPr="008F1DDA">
        <w:t>Eine Zustandserhebung, begleitet durch eine eingehende Analyse, die in dem Museum durchgeführt wurde,</w:t>
      </w:r>
      <w:r>
        <w:t xml:space="preserve"> </w:t>
      </w:r>
      <w:r w:rsidRPr="008F1DDA">
        <w:t>ermöglichte die Feststellung und Priorisierung der lüftungsbezogenen Risiken für das Gebäude sowie für die</w:t>
      </w:r>
      <w:r>
        <w:t xml:space="preserve"> </w:t>
      </w:r>
      <w:r w:rsidRPr="008F1DDA">
        <w:t>Objekte und Sammlungen. Unter Anwendung von EN 15757 wurden Schwankungen der relativen</w:t>
      </w:r>
      <w:r>
        <w:t xml:space="preserve"> </w:t>
      </w:r>
      <w:r w:rsidRPr="008F1DDA">
        <w:t>Luftfeuchte in den Innenräumen in zu starkem Ausmaß und Häufigkeit festgestellt, die das Risiko von</w:t>
      </w:r>
      <w:r>
        <w:t xml:space="preserve"> </w:t>
      </w:r>
      <w:r w:rsidRPr="008F1DDA">
        <w:t>mechanischer Beschädigung von Gemälden und Möbeln bewirken. Ebenfalls wurde eine zu hohe relative</w:t>
      </w:r>
      <w:r>
        <w:t xml:space="preserve"> </w:t>
      </w:r>
      <w:r w:rsidRPr="008F1DDA">
        <w:t>Luftfeuchte, die das Risiko von Schimmelpilzwachstum bewirkt, als wichtige Gefährdung festgestellt. In</w:t>
      </w:r>
      <w:r>
        <w:t xml:space="preserve"> </w:t>
      </w:r>
      <w:r w:rsidRPr="008F1DDA">
        <w:t xml:space="preserve">diesem besonders einfachen Fall wurden sämtliche anderen Risiken, wie Kondensation von </w:t>
      </w:r>
      <w:r>
        <w:t>F</w:t>
      </w:r>
      <w:r w:rsidRPr="008F1DDA">
        <w:t>euchte,</w:t>
      </w:r>
      <w:r>
        <w:t xml:space="preserve"> </w:t>
      </w:r>
      <w:r w:rsidRPr="008F1DDA">
        <w:t>Salzkristallisation oder Anstieg des Schadstoffniveaus aus konservatorischer Sicht als weniger wichtig</w:t>
      </w:r>
      <w:r>
        <w:t xml:space="preserve"> </w:t>
      </w:r>
      <w:r w:rsidRPr="008F1DDA">
        <w:t>beurteilt und deshalb wurden Maßnahmen, die auf die Verringerung ihres Einflusses abzielen, bei dem</w:t>
      </w:r>
      <w:r>
        <w:t xml:space="preserve"> </w:t>
      </w:r>
      <w:r w:rsidRPr="008F1DDA">
        <w:t>Anlagenentwurf ausgespart.</w:t>
      </w:r>
    </w:p>
    <w:p w:rsidR="008F1DDA" w:rsidRPr="008F1DDA" w:rsidRDefault="008F1DDA" w:rsidP="0096109A">
      <w:pPr>
        <w:jc w:val="both"/>
      </w:pPr>
      <w:r w:rsidRPr="008F1DDA">
        <w:t>Von den vorstehend beschriebenen Annahmen ausgehend wurden die folgenden, die Regelung der Lüftung</w:t>
      </w:r>
      <w:r>
        <w:t xml:space="preserve"> </w:t>
      </w:r>
      <w:r w:rsidRPr="008F1DDA">
        <w:t>betreffenden Empfehlungen formuliert, um mit den beschriebenen Risiken umzugehen, und gleichzeitig eine</w:t>
      </w:r>
      <w:r>
        <w:t xml:space="preserve"> </w:t>
      </w:r>
      <w:r w:rsidRPr="008F1DDA">
        <w:t>Innenraumumgebung zu schaffen, die eine nachhaltige Nutzung des Museums ermöglicht:</w:t>
      </w:r>
    </w:p>
    <w:p w:rsidR="008F1DDA" w:rsidRPr="008F1DDA" w:rsidRDefault="008F1DDA" w:rsidP="0096109A">
      <w:pPr>
        <w:jc w:val="both"/>
      </w:pPr>
      <w:r w:rsidRPr="008F1DDA">
        <w:t>a) Der Einlass der Außenluft (Lüftung arbeitet in der externen Betriebsart) wird eingeschaltet, um das</w:t>
      </w:r>
      <w:r>
        <w:t xml:space="preserve"> </w:t>
      </w:r>
      <w:r w:rsidRPr="008F1DDA">
        <w:t>überschüssige, von Besuchern freigesetzte Kohlenstoffdioxid innerhalb eines gewählten Schwellenwerts</w:t>
      </w:r>
      <w:r>
        <w:t xml:space="preserve"> </w:t>
      </w:r>
      <w:r w:rsidRPr="008F1DDA">
        <w:t>(X) oberhalb des Niveaus der Außenumgebung zu begrenzen, so dass die Raumluftbeschaffenheit auf</w:t>
      </w:r>
      <w:r>
        <w:t xml:space="preserve"> </w:t>
      </w:r>
      <w:r w:rsidRPr="008F1DDA">
        <w:t>einem annehmbaren Niveau gehalten wird.</w:t>
      </w:r>
    </w:p>
    <w:p w:rsidR="00590EDF" w:rsidRDefault="008F1DDA" w:rsidP="0096109A">
      <w:pPr>
        <w:jc w:val="both"/>
      </w:pPr>
      <w:r w:rsidRPr="008F1DDA">
        <w:t>b) Wenn die Kohlenstoffdioxidkonzentration der Raumluft annehmbar wird, wird der Außenlufteinlass</w:t>
      </w:r>
      <w:r>
        <w:t xml:space="preserve"> </w:t>
      </w:r>
      <w:r w:rsidRPr="008F1DDA">
        <w:t>ausschließlich zur Regelung der relativen Luftfeuchte in den Innenräumen aktiviert, damit diese im</w:t>
      </w:r>
      <w:r>
        <w:t xml:space="preserve"> </w:t>
      </w:r>
      <w:r w:rsidRPr="008F1DDA">
        <w:t>Bereich der zulässigen Schwankungen nach EN 15757 bleibt. Bleibt die relative Luftfeuchte im</w:t>
      </w:r>
      <w:r>
        <w:t xml:space="preserve"> </w:t>
      </w:r>
      <w:r w:rsidRPr="008F1DDA">
        <w:t>zulässigen Bereich, wird die Außenluftzufuhr ferner für die Temperaturregelung für die menschliche</w:t>
      </w:r>
      <w:r>
        <w:t xml:space="preserve"> </w:t>
      </w:r>
      <w:r w:rsidRPr="008F1DDA">
        <w:t>Behaglichkeit verwendet, d. h. ein Temperaturbereich von 18 °C bis 26 °C wird eingehalten. Ein</w:t>
      </w:r>
      <w:r>
        <w:t xml:space="preserve"> </w:t>
      </w:r>
      <w:r w:rsidRPr="008F1DDA">
        <w:t>minimaler Temperaturunterschied von 2 °C zwischen Außen- und Innenluft ist eine weitere Bedingung</w:t>
      </w:r>
      <w:r>
        <w:t xml:space="preserve"> </w:t>
      </w:r>
      <w:r w:rsidRPr="008F1DDA">
        <w:t>für die Aktivierung</w:t>
      </w:r>
      <w:r>
        <w:t xml:space="preserve"> des Einlasses, um die Stabilität des Regelsystems und der Energieeffizienz sicherzustellen.</w:t>
      </w:r>
    </w:p>
    <w:p w:rsidR="008F1DDA" w:rsidRDefault="008F1DDA" w:rsidP="0096109A">
      <w:pPr>
        <w:jc w:val="both"/>
      </w:pPr>
      <w:r>
        <w:t>c) Es werden zwei Alarmgrenzen für die Schwankungen der relativen Luftfeuchte ausgewählt, in diesem Fall 35 % und 75 %. Die Heizung wird aktiviert, um die Regelung der relativen Luftfeuchte zu unterstützen, wenn die obere Alarmgrenze von 75 % relativer Luftfeuchte überschritten wird.</w:t>
      </w:r>
    </w:p>
    <w:p w:rsidR="008F1DDA" w:rsidRDefault="008F1DDA" w:rsidP="0096109A">
      <w:pPr>
        <w:jc w:val="both"/>
      </w:pPr>
      <w:r>
        <w:t>Allerdings kann die Heizung nur dann für die Stabilisierung der relativen Luftfeuchte aktiviert werden, wenn die Raumtemperatur unterhalb von 26 °C liegt. Die Heizung wird ausgeschaltet, wenn die relative Luftfeuchte unter die untere Alarmgrenze von 35 % relativer Luftfeuchte sinkt. Allerdings darf die Temperatur nicht unter 13 °C sinken, um eine Mindestbehaglichkeit für Menschen sicherzustellen.</w:t>
      </w:r>
    </w:p>
    <w:p w:rsidR="008F1DDA" w:rsidRDefault="008F1DDA" w:rsidP="0096109A">
      <w:pPr>
        <w:jc w:val="both"/>
      </w:pPr>
      <w:r>
        <w:t>d) Der Energieverbrauch wird auf ein Mindestmaß verringert, indem die Lüftungsanlage gestoppt wird, wenn die Luftkennwerte zufriedenstellend sind.</w:t>
      </w:r>
    </w:p>
    <w:p w:rsidR="008F1DDA" w:rsidRDefault="008F1DDA" w:rsidP="0096109A">
      <w:pPr>
        <w:jc w:val="both"/>
      </w:pPr>
      <w:r>
        <w:t>Im Fall, dass die Erwärmung der Luft für die menschliche Behaglichkeit erforderlich ist, arbeitet die Anlage ausschließlich im Rezirkulationsbetrieb. Alle Elemente des Steuerungsalgorithmus sind in Tabelle A.1 angegeben.</w:t>
      </w:r>
    </w:p>
    <w:p w:rsidR="008F1DDA" w:rsidRDefault="008F1DDA" w:rsidP="0096109A">
      <w:pPr>
        <w:jc w:val="center"/>
        <w:rPr>
          <w:highlight w:val="yellow"/>
        </w:rPr>
      </w:pPr>
      <w:r>
        <w:rPr>
          <w:noProof/>
          <w:lang w:val="de-AT" w:eastAsia="de-AT"/>
        </w:rPr>
        <w:drawing>
          <wp:inline distT="0" distB="0" distL="0" distR="0" wp14:anchorId="40DE868F" wp14:editId="07E70424">
            <wp:extent cx="4015409" cy="3764445"/>
            <wp:effectExtent l="0" t="0" r="4445" b="762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2305" t="14601" r="61138" b="5715"/>
                    <a:stretch/>
                  </pic:blipFill>
                  <pic:spPr bwMode="auto">
                    <a:xfrm>
                      <a:off x="0" y="0"/>
                      <a:ext cx="4027039" cy="3775348"/>
                    </a:xfrm>
                    <a:prstGeom prst="rect">
                      <a:avLst/>
                    </a:prstGeom>
                    <a:ln>
                      <a:noFill/>
                    </a:ln>
                    <a:extLst>
                      <a:ext uri="{53640926-AAD7-44D8-BBD7-CCE9431645EC}">
                        <a14:shadowObscured xmlns:a14="http://schemas.microsoft.com/office/drawing/2010/main"/>
                      </a:ext>
                    </a:extLst>
                  </pic:spPr>
                </pic:pic>
              </a:graphicData>
            </a:graphic>
          </wp:inline>
        </w:drawing>
      </w:r>
    </w:p>
    <w:p w:rsidR="008F1DDA" w:rsidRDefault="008F1DDA" w:rsidP="0096109A">
      <w:pPr>
        <w:jc w:val="center"/>
        <w:rPr>
          <w:highlight w:val="yellow"/>
        </w:rPr>
      </w:pPr>
      <w:r>
        <w:rPr>
          <w:noProof/>
          <w:lang w:val="de-AT" w:eastAsia="de-AT"/>
        </w:rPr>
        <w:drawing>
          <wp:inline distT="0" distB="0" distL="0" distR="0" wp14:anchorId="4A8B41E5" wp14:editId="23E73408">
            <wp:extent cx="4015409" cy="3270281"/>
            <wp:effectExtent l="0" t="0" r="4445" b="635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0369" t="20796" r="62797" b="9261"/>
                    <a:stretch/>
                  </pic:blipFill>
                  <pic:spPr bwMode="auto">
                    <a:xfrm>
                      <a:off x="0" y="0"/>
                      <a:ext cx="4023484" cy="3276857"/>
                    </a:xfrm>
                    <a:prstGeom prst="rect">
                      <a:avLst/>
                    </a:prstGeom>
                    <a:ln>
                      <a:noFill/>
                    </a:ln>
                    <a:extLst>
                      <a:ext uri="{53640926-AAD7-44D8-BBD7-CCE9431645EC}">
                        <a14:shadowObscured xmlns:a14="http://schemas.microsoft.com/office/drawing/2010/main"/>
                      </a:ext>
                    </a:extLst>
                  </pic:spPr>
                </pic:pic>
              </a:graphicData>
            </a:graphic>
          </wp:inline>
        </w:drawing>
      </w:r>
    </w:p>
    <w:p w:rsidR="008F1DDA" w:rsidRDefault="008F1DDA" w:rsidP="0096109A">
      <w:pPr>
        <w:jc w:val="both"/>
      </w:pPr>
      <w:r>
        <w:t>Eine Lagereinrichtung wurde so gebaut, dass sie eine passive Klimaregelung sicherstellt und ein hohes Maß der Sammlungspflege und Energieeffizienz miteinander verbindet. Die Wände, Böden und Decken bilden eine Masse mit einer hohen thermischen und hygroskopischen Kapazität und guter Wärmedämmung. Das Gebäude ist luftdicht, z. B. Fenster entfallen und die erforderlichen Öffnungen sind auf ein Mindestmaß beschränkt. Sämtlicher Personenverkehr und Arbeiten werden auf ein Mindestmaß beschränkt. Die folgenden Spezifikationen für die Lüftungsstrategie und -anlagen zur Unterstützung der Klimaregelung wurden formuliert:</w:t>
      </w:r>
    </w:p>
    <w:p w:rsidR="008F1DDA" w:rsidRDefault="008F1DDA" w:rsidP="0096109A">
      <w:pPr>
        <w:jc w:val="both"/>
      </w:pPr>
      <w:r>
        <w:t>a) Die maximale Luftaustauschrate beträgt 0,04 h−1 oder 1 je Tag.</w:t>
      </w:r>
    </w:p>
    <w:p w:rsidR="008F1DDA" w:rsidRDefault="008F1DDA" w:rsidP="0096109A">
      <w:pPr>
        <w:jc w:val="both"/>
      </w:pPr>
      <w:r>
        <w:t>b) Es wird erwartet, dass die Temperatur zwischen 7 °C und 22 °C schwankt, was den jahreszeitlichen Temperaturzyklus widerspiegelt. Die natürliche Abkühlung in kalten Zeitabschnitten verbessert die Konservierung durch Begrenzung des chemischen Abbaus der Materialien.</w:t>
      </w:r>
    </w:p>
    <w:p w:rsidR="008F1DDA" w:rsidRDefault="008F1DDA" w:rsidP="0096109A">
      <w:pPr>
        <w:jc w:val="both"/>
      </w:pPr>
      <w:r>
        <w:t>c) Die relative Luftfeuchte sollte 50 % nicht überschreiten, sie darf jedoch im Winter bis auf 30 % absinken, wenn das Lager geheizt wird, um die Mindesttemperatur von 7 °C aufrechtzuerhalten. In gleicher Weise wie die Temperatur begrenzt ein niedriger RH-Bereich den chemischen Abbau und verhindert mikrobiologische Risiken. Allerdings muss die mögliche Wirkung von Änderungen der relativen Luftfeuchte angemessen berücksichtigt werden.</w:t>
      </w:r>
    </w:p>
    <w:p w:rsidR="008F1DDA" w:rsidRDefault="008F1DDA" w:rsidP="0096109A">
      <w:pPr>
        <w:jc w:val="both"/>
      </w:pPr>
      <w:r>
        <w:t>d) Die Lüftungsanlage:</w:t>
      </w:r>
    </w:p>
    <w:p w:rsidR="008F1DDA" w:rsidRDefault="008F1DDA" w:rsidP="0096109A">
      <w:pPr>
        <w:jc w:val="both"/>
      </w:pPr>
      <w:r>
        <w:t>1) stellt die Rezirkulation der Luft sicher, bei bis zu 1 Raumvolumen je Stunde;</w:t>
      </w:r>
    </w:p>
    <w:p w:rsidR="008F1DDA" w:rsidRDefault="008F1DDA" w:rsidP="0096109A">
      <w:pPr>
        <w:jc w:val="both"/>
      </w:pPr>
      <w:r>
        <w:t>2) ist verbunden mit einem Entfeuchter, der eingeschaltet wird, wenn die relative Luftfeuchte in den Innenräumen 50 % überschreitet, und einer Heizung, die heizt, wenn die Lufttemperatur unter 7 °C sinkt;</w:t>
      </w:r>
    </w:p>
    <w:p w:rsidR="008F1DDA" w:rsidRPr="008F1DDA" w:rsidRDefault="008F1DDA" w:rsidP="0096109A">
      <w:pPr>
        <w:jc w:val="both"/>
        <w:rPr>
          <w:highlight w:val="yellow"/>
        </w:rPr>
      </w:pPr>
      <w:r>
        <w:t>3) ist mit dem Kohlefilter ausgestattet, um im Innenraum erzeugte Schadstoffe zu entfernen.</w:t>
      </w:r>
    </w:p>
    <w:p w:rsidR="008F1DDA" w:rsidRPr="00236310" w:rsidRDefault="008F1DDA" w:rsidP="008F1DDA"/>
    <w:p w:rsidR="00441E7C" w:rsidRPr="009D5A90" w:rsidRDefault="006710A8" w:rsidP="00FB112A">
      <w:pPr>
        <w:pStyle w:val="berschrift5"/>
        <w:rPr>
          <w:lang w:val="de-AT"/>
        </w:rPr>
      </w:pPr>
      <w:r w:rsidRPr="009D5A90">
        <w:rPr>
          <w:lang w:val="de-AT"/>
        </w:rPr>
        <w:t xml:space="preserve">Neues Regionshaus Hannover </w:t>
      </w:r>
      <w:r w:rsidRPr="009D5A90">
        <w:rPr>
          <w:lang w:val="en-US"/>
        </w:rPr>
        <w:fldChar w:fldCharType="begin"/>
      </w:r>
      <w:r w:rsidRPr="009D5A90">
        <w:rPr>
          <w:lang w:val="de-AT"/>
        </w:rPr>
        <w:instrText xml:space="preserve"> ADDIN EN.CITE &lt;EndNote&gt;&lt;Cite&gt;&lt;Author&gt;Fisch&lt;/Author&gt;&lt;Year&gt;2010&lt;/Year&gt;&lt;RecNum&gt;10877&lt;/RecNum&gt;&lt;DisplayText&gt;(Fisch, 2010)&lt;/DisplayText&gt;&lt;record&gt;&lt;rec-number&gt;10877&lt;/rec-number&gt;&lt;foreign-keys&gt;&lt;key app="EN" db-id="zxrx2rspbdeppzeza5fv0e03vdwxr5svazdr" timestamp="1413541653"&gt;10877&lt;/key&gt;&lt;key app="ENWeb" db-id=""&gt;0&lt;/key&gt;&lt;/foreign-keys&gt;&lt;ref-type name="Journal Article"&gt;17&lt;/ref-type&gt;&lt;contributors&gt;&lt;authors&gt;&lt;author&gt;M. Norbert Fisch&lt;/author&gt;&lt;/authors&gt;&lt;/contributors&gt;&lt;titles&gt;&lt;title&gt;Neues Regionshaus Hannover&lt;/title&gt;&lt;/titles&gt;&lt;dates&gt;&lt;year&gt;2010&lt;/year&gt;&lt;/dates&gt;&lt;urls&gt;&lt;/urls&gt;&lt;/record&gt;&lt;/Cite&gt;&lt;/EndNote&gt;</w:instrText>
      </w:r>
      <w:r w:rsidRPr="009D5A90">
        <w:rPr>
          <w:lang w:val="en-US"/>
        </w:rPr>
        <w:fldChar w:fldCharType="separate"/>
      </w:r>
      <w:r w:rsidRPr="009D5A90">
        <w:rPr>
          <w:lang w:val="de-AT"/>
        </w:rPr>
        <w:t>(</w:t>
      </w:r>
      <w:hyperlink w:anchor="_ENREF_6" w:tooltip="Fisch, 2010 #10877" w:history="1">
        <w:r w:rsidR="00C64325" w:rsidRPr="009D5A90">
          <w:rPr>
            <w:lang w:val="de-AT"/>
          </w:rPr>
          <w:t>Fisch, 2010</w:t>
        </w:r>
      </w:hyperlink>
      <w:r w:rsidRPr="009D5A90">
        <w:rPr>
          <w:lang w:val="de-AT"/>
        </w:rPr>
        <w:t>)</w:t>
      </w:r>
      <w:r w:rsidRPr="009D5A90">
        <w:rPr>
          <w:lang w:val="en-US"/>
        </w:rPr>
        <w:fldChar w:fldCharType="end"/>
      </w:r>
      <w:r w:rsidR="00441E7C" w:rsidRPr="009D5A90">
        <w:rPr>
          <w:lang w:val="de-AT"/>
        </w:rPr>
        <w:t>Seite 105 ff.</w:t>
      </w:r>
    </w:p>
    <w:p w:rsidR="009D5A90" w:rsidRPr="009D5A90" w:rsidRDefault="009D5A90" w:rsidP="00FB112A">
      <w:pPr>
        <w:pStyle w:val="berschrift6"/>
        <w:rPr>
          <w:lang w:val="de-AT"/>
        </w:rPr>
      </w:pPr>
      <w:r w:rsidRPr="009D5A90">
        <w:rPr>
          <w:lang w:val="de-AT"/>
        </w:rPr>
        <w:t>7 N</w:t>
      </w:r>
      <w:r w:rsidR="00FB112A">
        <w:rPr>
          <w:lang w:val="de-AT"/>
        </w:rPr>
        <w:t>utzerkomfort</w:t>
      </w:r>
    </w:p>
    <w:p w:rsidR="009D5A90" w:rsidRPr="009D5A90" w:rsidRDefault="009D5A90" w:rsidP="0096109A">
      <w:pPr>
        <w:jc w:val="both"/>
        <w:rPr>
          <w:lang w:val="de-AT"/>
        </w:rPr>
      </w:pPr>
      <w:r w:rsidRPr="009D5A90">
        <w:rPr>
          <w:lang w:val="de-AT"/>
        </w:rPr>
        <w:t>Der thermische Nutzerkomfort ist eines der wesentlichen Ziele bei der Realisierung eines Bürogebäudes, da er die Gesundheit und Leistungsfähigkeit der Menschen stark beeinflusst. Für das Neue Regionshaus Hannover sollten zwei Fragestellungen beantwortet werden:</w:t>
      </w:r>
    </w:p>
    <w:p w:rsidR="009D5A90" w:rsidRPr="009D5A90" w:rsidRDefault="009D5A90" w:rsidP="0096109A">
      <w:pPr>
        <w:jc w:val="both"/>
        <w:rPr>
          <w:lang w:val="de-AT"/>
        </w:rPr>
      </w:pPr>
      <w:r w:rsidRPr="009D5A90">
        <w:rPr>
          <w:lang w:val="de-AT"/>
        </w:rPr>
        <w:t>1.</w:t>
      </w:r>
      <w:r>
        <w:rPr>
          <w:lang w:val="de-AT"/>
        </w:rPr>
        <w:t xml:space="preserve"> </w:t>
      </w:r>
      <w:r w:rsidRPr="009D5A90">
        <w:rPr>
          <w:lang w:val="de-AT"/>
        </w:rPr>
        <w:t>Werden die normativen Grenzwe</w:t>
      </w:r>
      <w:r>
        <w:rPr>
          <w:lang w:val="de-AT"/>
        </w:rPr>
        <w:t xml:space="preserve">rte sowie die Anforderungen der </w:t>
      </w:r>
      <w:r w:rsidRPr="009D5A90">
        <w:rPr>
          <w:lang w:val="de-AT"/>
        </w:rPr>
        <w:t>Arbeitsstättenrichtlinien und der funktionalen Leistungsbeschreibung an</w:t>
      </w:r>
      <w:r>
        <w:rPr>
          <w:lang w:val="de-AT"/>
        </w:rPr>
        <w:t xml:space="preserve"> </w:t>
      </w:r>
      <w:r w:rsidRPr="009D5A90">
        <w:rPr>
          <w:lang w:val="de-AT"/>
        </w:rPr>
        <w:t>den thermischen Komfort eingehalten?</w:t>
      </w:r>
    </w:p>
    <w:p w:rsidR="009D5A90" w:rsidRPr="009D5A90" w:rsidRDefault="009D5A90" w:rsidP="0096109A">
      <w:pPr>
        <w:jc w:val="both"/>
        <w:rPr>
          <w:lang w:val="de-AT"/>
        </w:rPr>
      </w:pPr>
      <w:r w:rsidRPr="009D5A90">
        <w:rPr>
          <w:lang w:val="de-AT"/>
        </w:rPr>
        <w:t>2. Wie bewerten die Nutzer den Komfort im Gebäude?</w:t>
      </w:r>
    </w:p>
    <w:p w:rsidR="006710A8" w:rsidRDefault="009D5A90" w:rsidP="0096109A">
      <w:pPr>
        <w:jc w:val="both"/>
        <w:rPr>
          <w:lang w:val="de-AT"/>
        </w:rPr>
      </w:pPr>
      <w:r w:rsidRPr="009D5A90">
        <w:rPr>
          <w:lang w:val="de-AT"/>
        </w:rPr>
        <w:t>Zur Beantwortung der Fragen wurden ein Langzeit- und ein Kurzzeit- Monitoring,</w:t>
      </w:r>
      <w:r>
        <w:rPr>
          <w:lang w:val="de-AT"/>
        </w:rPr>
        <w:t xml:space="preserve"> </w:t>
      </w:r>
      <w:r w:rsidRPr="009D5A90">
        <w:rPr>
          <w:lang w:val="de-AT"/>
        </w:rPr>
        <w:t>letzteres als Kombination aus physikalischen Messungen und Befragungen, sowie</w:t>
      </w:r>
      <w:r>
        <w:rPr>
          <w:lang w:val="de-AT"/>
        </w:rPr>
        <w:t xml:space="preserve"> </w:t>
      </w:r>
      <w:r w:rsidRPr="009D5A90">
        <w:rPr>
          <w:lang w:val="de-AT"/>
        </w:rPr>
        <w:t>Umweltpsychologische</w:t>
      </w:r>
      <w:r>
        <w:rPr>
          <w:lang w:val="de-AT"/>
        </w:rPr>
        <w:t xml:space="preserve"> </w:t>
      </w:r>
      <w:r w:rsidRPr="009D5A90">
        <w:rPr>
          <w:lang w:val="de-AT"/>
        </w:rPr>
        <w:t>Untersuchungen durchgeführt. Den Schwerpunkt der</w:t>
      </w:r>
      <w:r>
        <w:rPr>
          <w:lang w:val="de-AT"/>
        </w:rPr>
        <w:t xml:space="preserve"> </w:t>
      </w:r>
      <w:r w:rsidRPr="009D5A90">
        <w:rPr>
          <w:lang w:val="de-AT"/>
        </w:rPr>
        <w:t>Untersuchungen bildete der thermische Komfort einschließlich der Luftqualität.</w:t>
      </w:r>
    </w:p>
    <w:p w:rsidR="009D5A90" w:rsidRDefault="009D5A90" w:rsidP="0096109A">
      <w:pPr>
        <w:jc w:val="both"/>
        <w:rPr>
          <w:lang w:val="de-AT"/>
        </w:rPr>
      </w:pPr>
      <w:r w:rsidRPr="009D5A90">
        <w:rPr>
          <w:lang w:val="de-AT"/>
        </w:rPr>
        <w:t>Als Maßstab für die Bewertung des thermischen Komforts im Neuen Regionshaus</w:t>
      </w:r>
      <w:r>
        <w:rPr>
          <w:lang w:val="de-AT"/>
        </w:rPr>
        <w:t xml:space="preserve"> </w:t>
      </w:r>
      <w:r w:rsidRPr="009D5A90">
        <w:rPr>
          <w:lang w:val="de-AT"/>
        </w:rPr>
        <w:t>werden sowohl normierte Grenzwerte nach [DIN EN 7726 Deutsches Institut für</w:t>
      </w:r>
      <w:r>
        <w:rPr>
          <w:lang w:val="de-AT"/>
        </w:rPr>
        <w:t xml:space="preserve"> </w:t>
      </w:r>
      <w:r w:rsidRPr="009D5A90">
        <w:rPr>
          <w:lang w:val="de-AT"/>
        </w:rPr>
        <w:t>Normung, 2002] und anderen Normenwerken als auch Messergebnisse von anderen,</w:t>
      </w:r>
      <w:r>
        <w:rPr>
          <w:lang w:val="de-AT"/>
        </w:rPr>
        <w:t xml:space="preserve"> </w:t>
      </w:r>
      <w:r w:rsidRPr="009D5A90">
        <w:rPr>
          <w:lang w:val="de-AT"/>
        </w:rPr>
        <w:t>vergleichbaren Gebäuden verwendet. Abbildung 86 zeigt die verwendeten physikalischen</w:t>
      </w:r>
      <w:r>
        <w:rPr>
          <w:lang w:val="de-AT"/>
        </w:rPr>
        <w:t xml:space="preserve"> </w:t>
      </w:r>
      <w:r w:rsidRPr="009D5A90">
        <w:rPr>
          <w:lang w:val="de-AT"/>
        </w:rPr>
        <w:t>Größen und die abgeleiteten Kennwerte sowie die Grenzwerte der entsprechenden</w:t>
      </w:r>
      <w:r>
        <w:rPr>
          <w:lang w:val="de-AT"/>
        </w:rPr>
        <w:t xml:space="preserve"> </w:t>
      </w:r>
      <w:r w:rsidRPr="009D5A90">
        <w:rPr>
          <w:lang w:val="de-AT"/>
        </w:rPr>
        <w:t>Normen.</w:t>
      </w:r>
    </w:p>
    <w:p w:rsidR="009D5A90" w:rsidRDefault="009D5A90" w:rsidP="009D5A90">
      <w:pPr>
        <w:rPr>
          <w:lang w:val="de-AT"/>
        </w:rPr>
      </w:pPr>
      <w:r>
        <w:rPr>
          <w:noProof/>
          <w:lang w:val="de-AT" w:eastAsia="de-AT"/>
        </w:rPr>
        <w:drawing>
          <wp:inline distT="0" distB="0" distL="0" distR="0" wp14:anchorId="61A15C91" wp14:editId="63296868">
            <wp:extent cx="4428877" cy="3237170"/>
            <wp:effectExtent l="0" t="0" r="0" b="190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5254" t="12390" r="60305" b="7045"/>
                    <a:stretch/>
                  </pic:blipFill>
                  <pic:spPr bwMode="auto">
                    <a:xfrm>
                      <a:off x="0" y="0"/>
                      <a:ext cx="4443748" cy="3248039"/>
                    </a:xfrm>
                    <a:prstGeom prst="rect">
                      <a:avLst/>
                    </a:prstGeom>
                    <a:ln>
                      <a:noFill/>
                    </a:ln>
                    <a:extLst>
                      <a:ext uri="{53640926-AAD7-44D8-BBD7-CCE9431645EC}">
                        <a14:shadowObscured xmlns:a14="http://schemas.microsoft.com/office/drawing/2010/main"/>
                      </a:ext>
                    </a:extLst>
                  </pic:spPr>
                </pic:pic>
              </a:graphicData>
            </a:graphic>
          </wp:inline>
        </w:drawing>
      </w:r>
    </w:p>
    <w:p w:rsidR="009D5A90" w:rsidRDefault="009D5A90" w:rsidP="0096109A">
      <w:pPr>
        <w:jc w:val="both"/>
        <w:rPr>
          <w:lang w:val="de-AT"/>
        </w:rPr>
      </w:pPr>
      <w:r w:rsidRPr="009D5A90">
        <w:rPr>
          <w:lang w:val="de-AT"/>
        </w:rPr>
        <w:t>- maximale operative Raumtemperatur &lt; 29°C während einer eingeschwungenen 2-wöchigen Hitzeperiode nach VDI 2078“.</w:t>
      </w:r>
    </w:p>
    <w:p w:rsidR="009D5A90" w:rsidRPr="009D5A90" w:rsidRDefault="009D5A90" w:rsidP="0096109A">
      <w:pPr>
        <w:jc w:val="both"/>
        <w:rPr>
          <w:lang w:val="de-AT"/>
        </w:rPr>
      </w:pPr>
      <w:r w:rsidRPr="009D5A90">
        <w:rPr>
          <w:lang w:val="de-AT"/>
        </w:rPr>
        <w:t>Mit dem Langzeit-Monitoring wurde der thermische Komfort mit dem Fokus auf dem</w:t>
      </w:r>
      <w:r>
        <w:rPr>
          <w:lang w:val="de-AT"/>
        </w:rPr>
        <w:t xml:space="preserve"> </w:t>
      </w:r>
      <w:r w:rsidRPr="009D5A90">
        <w:rPr>
          <w:lang w:val="de-AT"/>
        </w:rPr>
        <w:t>sommerlichten Wärmeschutz untersucht. Wesentliche Zielgröße war die Anzahl der</w:t>
      </w:r>
      <w:r>
        <w:rPr>
          <w:lang w:val="de-AT"/>
        </w:rPr>
        <w:t xml:space="preserve"> </w:t>
      </w:r>
      <w:r w:rsidRPr="009D5A90">
        <w:rPr>
          <w:lang w:val="de-AT"/>
        </w:rPr>
        <w:t>Überhitzungsstunden pro Jahr. Als Überhitzungsstunden wurden solche Stunden gezählt,</w:t>
      </w:r>
      <w:r w:rsidR="00FB112A">
        <w:rPr>
          <w:lang w:val="de-AT"/>
        </w:rPr>
        <w:t xml:space="preserve"> </w:t>
      </w:r>
      <w:r w:rsidRPr="009D5A90">
        <w:rPr>
          <w:lang w:val="de-AT"/>
        </w:rPr>
        <w:t>für die galt:</w:t>
      </w:r>
    </w:p>
    <w:p w:rsidR="009D5A90" w:rsidRPr="009D5A90" w:rsidRDefault="009D5A90" w:rsidP="0096109A">
      <w:pPr>
        <w:jc w:val="both"/>
        <w:rPr>
          <w:lang w:val="de-AT"/>
        </w:rPr>
      </w:pPr>
      <w:r w:rsidRPr="009D5A90">
        <w:rPr>
          <w:lang w:val="de-AT"/>
        </w:rPr>
        <w:t>Gleichung 9 Überhitzungsstunden</w:t>
      </w:r>
    </w:p>
    <w:p w:rsidR="009D5A90" w:rsidRPr="009D5A90" w:rsidRDefault="009D5A90" w:rsidP="0096109A">
      <w:pPr>
        <w:jc w:val="both"/>
        <w:rPr>
          <w:lang w:val="de-AT"/>
        </w:rPr>
      </w:pPr>
      <w:r w:rsidRPr="009D5A90">
        <w:rPr>
          <w:lang w:val="de-AT"/>
        </w:rPr>
        <w:t>TR,h &gt; 26°C</w:t>
      </w:r>
    </w:p>
    <w:p w:rsidR="009D5A90" w:rsidRDefault="009D5A90" w:rsidP="0096109A">
      <w:pPr>
        <w:jc w:val="both"/>
        <w:rPr>
          <w:lang w:val="de-AT"/>
        </w:rPr>
      </w:pPr>
      <w:r w:rsidRPr="009D5A90">
        <w:rPr>
          <w:lang w:val="de-AT"/>
        </w:rPr>
        <w:t>Mit</w:t>
      </w:r>
      <w:r>
        <w:rPr>
          <w:lang w:val="de-AT"/>
        </w:rPr>
        <w:t xml:space="preserve"> </w:t>
      </w:r>
      <w:r w:rsidRPr="009D5A90">
        <w:rPr>
          <w:lang w:val="de-AT"/>
        </w:rPr>
        <w:t>TR,h mittlere stündliche Raumtemperatur</w:t>
      </w:r>
    </w:p>
    <w:p w:rsidR="009D5A90" w:rsidRPr="009D5A90" w:rsidRDefault="009D5A90" w:rsidP="0096109A">
      <w:pPr>
        <w:jc w:val="both"/>
        <w:rPr>
          <w:lang w:val="de-AT"/>
        </w:rPr>
      </w:pPr>
      <w:r w:rsidRPr="009D5A90">
        <w:rPr>
          <w:lang w:val="de-AT"/>
        </w:rPr>
        <w:t>Zur Bewertung des thermischen Komforts wurden die Daten nach Zielkriterien zweier</w:t>
      </w:r>
      <w:r>
        <w:rPr>
          <w:lang w:val="de-AT"/>
        </w:rPr>
        <w:t xml:space="preserve"> </w:t>
      </w:r>
      <w:r w:rsidRPr="009D5A90">
        <w:rPr>
          <w:lang w:val="de-AT"/>
        </w:rPr>
        <w:t>Normen und in Bezug auf die FLB bewertet. DIN EN ISO 7730 definiert drei Komfort-Kategorien für die Raumtemperatur, jeweils für Heiz- und Kühlperiode, in denen die</w:t>
      </w:r>
      <w:r>
        <w:rPr>
          <w:lang w:val="de-AT"/>
        </w:rPr>
        <w:t xml:space="preserve"> </w:t>
      </w:r>
      <w:r w:rsidRPr="009D5A90">
        <w:rPr>
          <w:lang w:val="de-AT"/>
        </w:rPr>
        <w:t>Raumtemperatur liegen sollte. Als Heizperiode wurde jeweils der Zeitraum vom 01.10. bis</w:t>
      </w:r>
      <w:r>
        <w:rPr>
          <w:lang w:val="de-AT"/>
        </w:rPr>
        <w:t xml:space="preserve"> </w:t>
      </w:r>
      <w:r w:rsidRPr="009D5A90">
        <w:rPr>
          <w:lang w:val="de-AT"/>
        </w:rPr>
        <w:t>zum 31.03., die übrige Zeit des Jahres als Kühlperiode gewertet. Als Nutzungszeit</w:t>
      </w:r>
      <w:r>
        <w:rPr>
          <w:lang w:val="de-AT"/>
        </w:rPr>
        <w:t xml:space="preserve"> </w:t>
      </w:r>
      <w:r w:rsidRPr="009D5A90">
        <w:rPr>
          <w:lang w:val="de-AT"/>
        </w:rPr>
        <w:t>wurden in Anlehnung an die DIN 4108-2 alle Stunden an Wochentagen</w:t>
      </w:r>
      <w:r>
        <w:rPr>
          <w:lang w:val="de-AT"/>
        </w:rPr>
        <w:t xml:space="preserve"> </w:t>
      </w:r>
      <w:r w:rsidRPr="009D5A90">
        <w:rPr>
          <w:lang w:val="de-AT"/>
        </w:rPr>
        <w:t>(Montag –</w:t>
      </w:r>
      <w:r>
        <w:rPr>
          <w:lang w:val="de-AT"/>
        </w:rPr>
        <w:t xml:space="preserve"> </w:t>
      </w:r>
      <w:r w:rsidRPr="009D5A90">
        <w:rPr>
          <w:lang w:val="de-AT"/>
        </w:rPr>
        <w:t>Freitag einschließlich Feiertagen) zwischen 8 und 18 Uhr gewertet. Für diesen Zeitraum</w:t>
      </w:r>
      <w:r>
        <w:rPr>
          <w:lang w:val="de-AT"/>
        </w:rPr>
        <w:t xml:space="preserve"> </w:t>
      </w:r>
      <w:r w:rsidRPr="009D5A90">
        <w:rPr>
          <w:lang w:val="de-AT"/>
        </w:rPr>
        <w:t>wurden jeweils 10 momentane Messwerte bzw. Stunden pro Tag gezählt.</w:t>
      </w:r>
    </w:p>
    <w:p w:rsidR="009D5A90" w:rsidRDefault="009D5A90" w:rsidP="0096109A">
      <w:pPr>
        <w:jc w:val="both"/>
        <w:rPr>
          <w:lang w:val="de-AT"/>
        </w:rPr>
      </w:pPr>
      <w:r w:rsidRPr="009D5A90">
        <w:rPr>
          <w:lang w:val="de-AT"/>
        </w:rPr>
        <w:t>Darüber hinaus wurden die Messergebnisse hinsichtlich der Einhaltung des zulässigen</w:t>
      </w:r>
      <w:r>
        <w:rPr>
          <w:lang w:val="de-AT"/>
        </w:rPr>
        <w:t xml:space="preserve"> </w:t>
      </w:r>
      <w:r w:rsidRPr="009D5A90">
        <w:rPr>
          <w:lang w:val="de-AT"/>
        </w:rPr>
        <w:t>Anteils von Jahres-Überhitzungsstunden von 10 % während der Nutzungszeit nach</w:t>
      </w:r>
      <w:r>
        <w:rPr>
          <w:lang w:val="de-AT"/>
        </w:rPr>
        <w:t xml:space="preserve"> </w:t>
      </w:r>
      <w:r w:rsidRPr="009D5A90">
        <w:rPr>
          <w:lang w:val="de-AT"/>
        </w:rPr>
        <w:t>DIN 4108-2 und in Bezug auf die Einhaltung der Grenzwerte der FLB untersucht.</w:t>
      </w:r>
    </w:p>
    <w:p w:rsidR="001863DD" w:rsidRPr="001863DD" w:rsidRDefault="001863DD" w:rsidP="00FB112A">
      <w:pPr>
        <w:pStyle w:val="berschrift7"/>
        <w:rPr>
          <w:lang w:val="de-AT"/>
        </w:rPr>
      </w:pPr>
      <w:r w:rsidRPr="001863DD">
        <w:rPr>
          <w:lang w:val="de-AT"/>
        </w:rPr>
        <w:t>Bewertung entsprechend DIN EN ISO 7730:2006</w:t>
      </w:r>
    </w:p>
    <w:p w:rsidR="001863DD" w:rsidRDefault="001863DD" w:rsidP="0096109A">
      <w:pPr>
        <w:jc w:val="both"/>
        <w:rPr>
          <w:lang w:val="de-AT"/>
        </w:rPr>
      </w:pPr>
      <w:r w:rsidRPr="001863DD">
        <w:rPr>
          <w:lang w:val="de-AT"/>
        </w:rPr>
        <w:t>Abbildung 88 und Abbildung 89 zeigen zunächst die Messergebnisse für die beiden</w:t>
      </w:r>
      <w:r>
        <w:rPr>
          <w:lang w:val="de-AT"/>
        </w:rPr>
        <w:t xml:space="preserve"> </w:t>
      </w:r>
      <w:r w:rsidRPr="001863DD">
        <w:rPr>
          <w:lang w:val="de-AT"/>
        </w:rPr>
        <w:t>Heizperioden 2008 und 2009 nach DIN EN ISO 7730. Sie umfassten in der Nutzungszeit</w:t>
      </w:r>
      <w:r>
        <w:rPr>
          <w:lang w:val="de-AT"/>
        </w:rPr>
        <w:t xml:space="preserve"> </w:t>
      </w:r>
      <w:r w:rsidRPr="001863DD">
        <w:rPr>
          <w:lang w:val="de-AT"/>
        </w:rPr>
        <w:t>jeweils 1.310 h bzw. 1.300 h.</w:t>
      </w:r>
    </w:p>
    <w:p w:rsidR="001863DD" w:rsidRDefault="001863DD" w:rsidP="001863DD">
      <w:pPr>
        <w:rPr>
          <w:lang w:val="de-AT"/>
        </w:rPr>
      </w:pPr>
      <w:r>
        <w:rPr>
          <w:noProof/>
          <w:lang w:val="de-AT" w:eastAsia="de-AT"/>
        </w:rPr>
        <w:drawing>
          <wp:inline distT="0" distB="0" distL="0" distR="0" wp14:anchorId="48B00064" wp14:editId="503D2A5D">
            <wp:extent cx="4341413" cy="2403281"/>
            <wp:effectExtent l="0" t="0" r="254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669" t="17257" r="55602" b="14130"/>
                    <a:stretch/>
                  </pic:blipFill>
                  <pic:spPr bwMode="auto">
                    <a:xfrm>
                      <a:off x="0" y="0"/>
                      <a:ext cx="4350046" cy="2408060"/>
                    </a:xfrm>
                    <a:prstGeom prst="rect">
                      <a:avLst/>
                    </a:prstGeom>
                    <a:ln>
                      <a:noFill/>
                    </a:ln>
                    <a:extLst>
                      <a:ext uri="{53640926-AAD7-44D8-BBD7-CCE9431645EC}">
                        <a14:shadowObscured xmlns:a14="http://schemas.microsoft.com/office/drawing/2010/main"/>
                      </a:ext>
                    </a:extLst>
                  </pic:spPr>
                </pic:pic>
              </a:graphicData>
            </a:graphic>
          </wp:inline>
        </w:drawing>
      </w:r>
    </w:p>
    <w:p w:rsidR="001863DD" w:rsidRPr="001863DD" w:rsidRDefault="001863DD" w:rsidP="0096109A">
      <w:pPr>
        <w:jc w:val="both"/>
        <w:rPr>
          <w:lang w:val="de-AT"/>
        </w:rPr>
      </w:pPr>
      <w:r w:rsidRPr="001863DD">
        <w:rPr>
          <w:lang w:val="de-AT"/>
        </w:rPr>
        <w:t>In den Räumen lag die Raumtemperatur während rund 50 bis 95 % der Nutzungszeit in</w:t>
      </w:r>
      <w:r>
        <w:rPr>
          <w:lang w:val="de-AT"/>
        </w:rPr>
        <w:t xml:space="preserve"> </w:t>
      </w:r>
      <w:r w:rsidRPr="001863DD">
        <w:rPr>
          <w:lang w:val="de-AT"/>
        </w:rPr>
        <w:t>Kategorie A nach DIN EN ISO 7730:2006. Lediglich in einem Raum (S5a) lagen die</w:t>
      </w:r>
      <w:r>
        <w:rPr>
          <w:lang w:val="de-AT"/>
        </w:rPr>
        <w:t xml:space="preserve"> </w:t>
      </w:r>
      <w:r w:rsidRPr="001863DD">
        <w:rPr>
          <w:lang w:val="de-AT"/>
        </w:rPr>
        <w:t>Temperaturen über einen längeren Zeitraum unter 20°C. Da weder aus dem Betrieb noch</w:t>
      </w:r>
      <w:r>
        <w:rPr>
          <w:lang w:val="de-AT"/>
        </w:rPr>
        <w:t xml:space="preserve"> </w:t>
      </w:r>
      <w:r w:rsidRPr="001863DD">
        <w:rPr>
          <w:lang w:val="de-AT"/>
        </w:rPr>
        <w:t>aus den Nutzerbefragungen entsprechende Beschwerden bekannt sind, kann davon</w:t>
      </w:r>
      <w:r>
        <w:rPr>
          <w:lang w:val="de-AT"/>
        </w:rPr>
        <w:t xml:space="preserve"> </w:t>
      </w:r>
      <w:r w:rsidRPr="001863DD">
        <w:rPr>
          <w:lang w:val="de-AT"/>
        </w:rPr>
        <w:t xml:space="preserve">ausgegangen werden, dass die Raumtemperatur dem Nutzerwunsch und </w:t>
      </w:r>
      <w:r>
        <w:rPr>
          <w:lang w:val="de-AT"/>
        </w:rPr>
        <w:t>–</w:t>
      </w:r>
      <w:r w:rsidRPr="001863DD">
        <w:rPr>
          <w:lang w:val="de-AT"/>
        </w:rPr>
        <w:t>verhalten</w:t>
      </w:r>
      <w:r>
        <w:rPr>
          <w:lang w:val="de-AT"/>
        </w:rPr>
        <w:t xml:space="preserve"> </w:t>
      </w:r>
      <w:r w:rsidRPr="001863DD">
        <w:rPr>
          <w:lang w:val="de-AT"/>
        </w:rPr>
        <w:t>entspricht.</w:t>
      </w:r>
    </w:p>
    <w:p w:rsidR="001863DD" w:rsidRDefault="001863DD" w:rsidP="001863DD">
      <w:pPr>
        <w:rPr>
          <w:lang w:val="de-AT"/>
        </w:rPr>
      </w:pPr>
      <w:r w:rsidRPr="001863DD">
        <w:rPr>
          <w:lang w:val="de-AT"/>
        </w:rPr>
        <w:t>Abbildung 90 zeigt die Mittelwerte der Raumtemperaturen für die 19 Räume.</w:t>
      </w:r>
    </w:p>
    <w:p w:rsidR="001863DD" w:rsidRDefault="001863DD" w:rsidP="0096109A">
      <w:pPr>
        <w:jc w:val="center"/>
        <w:rPr>
          <w:lang w:val="de-AT"/>
        </w:rPr>
      </w:pPr>
      <w:r>
        <w:rPr>
          <w:noProof/>
          <w:lang w:val="de-AT" w:eastAsia="de-AT"/>
        </w:rPr>
        <w:drawing>
          <wp:inline distT="0" distB="0" distL="0" distR="0" wp14:anchorId="2D77A40D" wp14:editId="1E3632A6">
            <wp:extent cx="3570136" cy="2003385"/>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5807" t="16814" r="55742" b="14130"/>
                    <a:stretch/>
                  </pic:blipFill>
                  <pic:spPr bwMode="auto">
                    <a:xfrm>
                      <a:off x="0" y="0"/>
                      <a:ext cx="3577238" cy="2007370"/>
                    </a:xfrm>
                    <a:prstGeom prst="rect">
                      <a:avLst/>
                    </a:prstGeom>
                    <a:ln>
                      <a:noFill/>
                    </a:ln>
                    <a:extLst>
                      <a:ext uri="{53640926-AAD7-44D8-BBD7-CCE9431645EC}">
                        <a14:shadowObscured xmlns:a14="http://schemas.microsoft.com/office/drawing/2010/main"/>
                      </a:ext>
                    </a:extLst>
                  </pic:spPr>
                </pic:pic>
              </a:graphicData>
            </a:graphic>
          </wp:inline>
        </w:drawing>
      </w:r>
    </w:p>
    <w:p w:rsidR="001863DD" w:rsidRPr="001863DD" w:rsidRDefault="001863DD" w:rsidP="0096109A">
      <w:pPr>
        <w:jc w:val="both"/>
        <w:rPr>
          <w:lang w:val="de-AT"/>
        </w:rPr>
      </w:pPr>
      <w:r w:rsidRPr="001863DD">
        <w:rPr>
          <w:lang w:val="de-AT"/>
        </w:rPr>
        <w:t>Im Mittel lagen die Raumtemperaturen in beiden Heizperioden zu rund 85 % der</w:t>
      </w:r>
      <w:r>
        <w:rPr>
          <w:lang w:val="de-AT"/>
        </w:rPr>
        <w:t xml:space="preserve"> </w:t>
      </w:r>
      <w:r w:rsidRPr="001863DD">
        <w:rPr>
          <w:lang w:val="de-AT"/>
        </w:rPr>
        <w:t>Nutzungszeit in den Kategorien A und B (kühl), also zwischen 20 und 23°C.</w:t>
      </w:r>
    </w:p>
    <w:p w:rsidR="001863DD" w:rsidRDefault="001863DD" w:rsidP="0096109A">
      <w:pPr>
        <w:jc w:val="both"/>
        <w:rPr>
          <w:lang w:val="de-AT"/>
        </w:rPr>
      </w:pPr>
      <w:r w:rsidRPr="001863DD">
        <w:rPr>
          <w:lang w:val="de-AT"/>
        </w:rPr>
        <w:t>In Abbildung 91 und Abbildung 92 sind die Messergebnisse für die beiden Kühlperioden</w:t>
      </w:r>
      <w:r>
        <w:rPr>
          <w:lang w:val="de-AT"/>
        </w:rPr>
        <w:t xml:space="preserve"> </w:t>
      </w:r>
      <w:r w:rsidRPr="001863DD">
        <w:rPr>
          <w:lang w:val="de-AT"/>
        </w:rPr>
        <w:t>2008 und 2009 nach DIN EN ISO 7730:2006 dargestellt. Sie umfassten in der</w:t>
      </w:r>
      <w:r>
        <w:rPr>
          <w:lang w:val="de-AT"/>
        </w:rPr>
        <w:t xml:space="preserve"> </w:t>
      </w:r>
      <w:r w:rsidRPr="001863DD">
        <w:rPr>
          <w:lang w:val="de-AT"/>
        </w:rPr>
        <w:t>Nutzungszeit jeweils 1.310 h.</w:t>
      </w:r>
    </w:p>
    <w:p w:rsidR="001863DD" w:rsidRDefault="001863DD" w:rsidP="0096109A">
      <w:pPr>
        <w:jc w:val="center"/>
        <w:rPr>
          <w:lang w:val="de-AT"/>
        </w:rPr>
      </w:pPr>
      <w:r>
        <w:rPr>
          <w:noProof/>
          <w:lang w:val="de-AT" w:eastAsia="de-AT"/>
        </w:rPr>
        <w:drawing>
          <wp:inline distT="0" distB="0" distL="0" distR="0" wp14:anchorId="24F5FF98" wp14:editId="341FD327">
            <wp:extent cx="3745065" cy="2115633"/>
            <wp:effectExtent l="0" t="0" r="825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5668" t="18584" r="54928" b="10177"/>
                    <a:stretch/>
                  </pic:blipFill>
                  <pic:spPr bwMode="auto">
                    <a:xfrm>
                      <a:off x="0" y="0"/>
                      <a:ext cx="3750907" cy="2118933"/>
                    </a:xfrm>
                    <a:prstGeom prst="rect">
                      <a:avLst/>
                    </a:prstGeom>
                    <a:ln>
                      <a:noFill/>
                    </a:ln>
                    <a:extLst>
                      <a:ext uri="{53640926-AAD7-44D8-BBD7-CCE9431645EC}">
                        <a14:shadowObscured xmlns:a14="http://schemas.microsoft.com/office/drawing/2010/main"/>
                      </a:ext>
                    </a:extLst>
                  </pic:spPr>
                </pic:pic>
              </a:graphicData>
            </a:graphic>
          </wp:inline>
        </w:drawing>
      </w:r>
    </w:p>
    <w:p w:rsidR="001863DD" w:rsidRDefault="001863DD" w:rsidP="0096109A">
      <w:pPr>
        <w:jc w:val="center"/>
        <w:rPr>
          <w:lang w:val="de-AT"/>
        </w:rPr>
      </w:pPr>
      <w:r>
        <w:rPr>
          <w:noProof/>
          <w:lang w:val="de-AT" w:eastAsia="de-AT"/>
        </w:rPr>
        <w:drawing>
          <wp:inline distT="0" distB="0" distL="0" distR="0" wp14:anchorId="753BD8C4" wp14:editId="3A82E8CA">
            <wp:extent cx="3641698" cy="2054292"/>
            <wp:effectExtent l="0" t="0" r="0" b="317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5807" t="22566" r="56433" b="9263"/>
                    <a:stretch/>
                  </pic:blipFill>
                  <pic:spPr bwMode="auto">
                    <a:xfrm>
                      <a:off x="0" y="0"/>
                      <a:ext cx="3648943" cy="2058379"/>
                    </a:xfrm>
                    <a:prstGeom prst="rect">
                      <a:avLst/>
                    </a:prstGeom>
                    <a:ln>
                      <a:noFill/>
                    </a:ln>
                    <a:extLst>
                      <a:ext uri="{53640926-AAD7-44D8-BBD7-CCE9431645EC}">
                        <a14:shadowObscured xmlns:a14="http://schemas.microsoft.com/office/drawing/2010/main"/>
                      </a:ext>
                    </a:extLst>
                  </pic:spPr>
                </pic:pic>
              </a:graphicData>
            </a:graphic>
          </wp:inline>
        </w:drawing>
      </w:r>
    </w:p>
    <w:p w:rsidR="001863DD" w:rsidRPr="001863DD" w:rsidRDefault="001863DD" w:rsidP="0096109A">
      <w:pPr>
        <w:jc w:val="both"/>
        <w:rPr>
          <w:lang w:val="de-AT"/>
        </w:rPr>
      </w:pPr>
      <w:r w:rsidRPr="001863DD">
        <w:rPr>
          <w:lang w:val="de-AT"/>
        </w:rPr>
        <w:t>Da die hier definierten Zeiträume der Kühlperioden auch Zeiten mit moderaten</w:t>
      </w:r>
      <w:r>
        <w:rPr>
          <w:lang w:val="de-AT"/>
        </w:rPr>
        <w:t xml:space="preserve"> </w:t>
      </w:r>
      <w:r w:rsidRPr="001863DD">
        <w:rPr>
          <w:lang w:val="de-AT"/>
        </w:rPr>
        <w:t>Außentemperaturen unter 20°C umfassen, ist der hohe Anteil der Nutzungszeit mit</w:t>
      </w:r>
      <w:r>
        <w:rPr>
          <w:lang w:val="de-AT"/>
        </w:rPr>
        <w:t xml:space="preserve"> </w:t>
      </w:r>
      <w:r w:rsidRPr="001863DD">
        <w:rPr>
          <w:lang w:val="de-AT"/>
        </w:rPr>
        <w:t>Raumlufttemperaturen unter 23°C in den Kategorien C und &lt;C plausibel. Wichtig für den</w:t>
      </w:r>
      <w:r>
        <w:rPr>
          <w:lang w:val="de-AT"/>
        </w:rPr>
        <w:t xml:space="preserve"> </w:t>
      </w:r>
      <w:r w:rsidRPr="001863DD">
        <w:rPr>
          <w:lang w:val="de-AT"/>
        </w:rPr>
        <w:t>thermischen Komfort ist der sommerliche Wärmeschutz, den das Gebäude bietet. Die</w:t>
      </w:r>
      <w:r>
        <w:rPr>
          <w:lang w:val="de-AT"/>
        </w:rPr>
        <w:t xml:space="preserve"> </w:t>
      </w:r>
      <w:r w:rsidRPr="001863DD">
        <w:rPr>
          <w:lang w:val="de-AT"/>
        </w:rPr>
        <w:t>Messwerte zeigen, dass es lediglich in 2009 in einzelnen Räumen zu einer signifikanten</w:t>
      </w:r>
    </w:p>
    <w:p w:rsidR="001863DD" w:rsidRPr="001863DD" w:rsidRDefault="001863DD" w:rsidP="0096109A">
      <w:pPr>
        <w:jc w:val="both"/>
        <w:rPr>
          <w:lang w:val="de-AT"/>
        </w:rPr>
      </w:pPr>
      <w:r w:rsidRPr="001863DD">
        <w:rPr>
          <w:lang w:val="de-AT"/>
        </w:rPr>
        <w:t>Überhitzung gekommen ist. Hier lag die Raumtemperat</w:t>
      </w:r>
      <w:r>
        <w:rPr>
          <w:lang w:val="de-AT"/>
        </w:rPr>
        <w:t xml:space="preserve">ur in drei Räumen mehr als 10 % </w:t>
      </w:r>
      <w:r w:rsidRPr="001863DD">
        <w:rPr>
          <w:lang w:val="de-AT"/>
        </w:rPr>
        <w:t>der Nutzungszeit in der 6-monatigen Kühlperiode über 26°C. Die betroffenen Räume</w:t>
      </w:r>
      <w:r>
        <w:rPr>
          <w:lang w:val="de-AT"/>
        </w:rPr>
        <w:t xml:space="preserve"> </w:t>
      </w:r>
      <w:r w:rsidRPr="001863DD">
        <w:rPr>
          <w:lang w:val="de-AT"/>
        </w:rPr>
        <w:t>liegen auf der Süd- und Westseite, was auf Grund der größeren externen Wärmelasten</w:t>
      </w:r>
      <w:r>
        <w:rPr>
          <w:lang w:val="de-AT"/>
        </w:rPr>
        <w:t xml:space="preserve"> </w:t>
      </w:r>
      <w:r w:rsidRPr="001863DD">
        <w:rPr>
          <w:lang w:val="de-AT"/>
        </w:rPr>
        <w:t>plausibel ist.</w:t>
      </w:r>
    </w:p>
    <w:p w:rsidR="001863DD" w:rsidRDefault="001863DD" w:rsidP="0096109A">
      <w:pPr>
        <w:jc w:val="both"/>
        <w:rPr>
          <w:lang w:val="de-AT"/>
        </w:rPr>
      </w:pPr>
      <w:r w:rsidRPr="001863DD">
        <w:rPr>
          <w:lang w:val="de-AT"/>
        </w:rPr>
        <w:t>Abbildung 93 zeigt, dass der Anteil der Nutzungszeit mit Raumtemperaturen über 26°C</w:t>
      </w:r>
      <w:r>
        <w:rPr>
          <w:lang w:val="de-AT"/>
        </w:rPr>
        <w:t xml:space="preserve"> </w:t>
      </w:r>
      <w:r w:rsidRPr="001863DD">
        <w:rPr>
          <w:lang w:val="de-AT"/>
        </w:rPr>
        <w:t>im Mittel in der Kühlperiode 2008 lediglich bei 1,7 % und in 2009 bei 4,2 % lag.</w:t>
      </w:r>
    </w:p>
    <w:p w:rsidR="001863DD" w:rsidRDefault="001863DD" w:rsidP="0096109A">
      <w:pPr>
        <w:jc w:val="center"/>
        <w:rPr>
          <w:lang w:val="de-AT"/>
        </w:rPr>
      </w:pPr>
      <w:r>
        <w:rPr>
          <w:noProof/>
          <w:lang w:val="de-AT" w:eastAsia="de-AT"/>
        </w:rPr>
        <w:drawing>
          <wp:inline distT="0" distB="0" distL="0" distR="0" wp14:anchorId="071217E8" wp14:editId="03D4A9EB">
            <wp:extent cx="3848432" cy="2068204"/>
            <wp:effectExtent l="0" t="0" r="0" b="825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5668" t="17257" r="53666" b="12802"/>
                    <a:stretch/>
                  </pic:blipFill>
                  <pic:spPr bwMode="auto">
                    <a:xfrm>
                      <a:off x="0" y="0"/>
                      <a:ext cx="3856084" cy="2072316"/>
                    </a:xfrm>
                    <a:prstGeom prst="rect">
                      <a:avLst/>
                    </a:prstGeom>
                    <a:ln>
                      <a:noFill/>
                    </a:ln>
                    <a:extLst>
                      <a:ext uri="{53640926-AAD7-44D8-BBD7-CCE9431645EC}">
                        <a14:shadowObscured xmlns:a14="http://schemas.microsoft.com/office/drawing/2010/main"/>
                      </a:ext>
                    </a:extLst>
                  </pic:spPr>
                </pic:pic>
              </a:graphicData>
            </a:graphic>
          </wp:inline>
        </w:drawing>
      </w:r>
    </w:p>
    <w:p w:rsidR="001863DD" w:rsidRPr="001863DD" w:rsidRDefault="001863DD" w:rsidP="00FB112A">
      <w:pPr>
        <w:pStyle w:val="berschrift7"/>
        <w:rPr>
          <w:lang w:val="de-AT"/>
        </w:rPr>
      </w:pPr>
      <w:r w:rsidRPr="001863DD">
        <w:rPr>
          <w:lang w:val="de-AT"/>
        </w:rPr>
        <w:t>Bewertung entsprechend DIN 4108:2</w:t>
      </w:r>
    </w:p>
    <w:p w:rsidR="001863DD" w:rsidRDefault="001863DD" w:rsidP="0096109A">
      <w:pPr>
        <w:jc w:val="both"/>
        <w:rPr>
          <w:lang w:val="de-AT"/>
        </w:rPr>
      </w:pPr>
      <w:r w:rsidRPr="001863DD">
        <w:rPr>
          <w:lang w:val="de-AT"/>
        </w:rPr>
        <w:t>Neben der Bewertung nach DIN EN ISO 7730:2006 wird der thermische Komfort auch in</w:t>
      </w:r>
      <w:r>
        <w:rPr>
          <w:lang w:val="de-AT"/>
        </w:rPr>
        <w:t xml:space="preserve"> </w:t>
      </w:r>
      <w:r w:rsidRPr="001863DD">
        <w:rPr>
          <w:lang w:val="de-AT"/>
        </w:rPr>
        <w:t>Bezug auf den Grenzwert nach DIN 4108:2 bewertet. Sie begrenzt die Anzahl der</w:t>
      </w:r>
      <w:r>
        <w:rPr>
          <w:lang w:val="de-AT"/>
        </w:rPr>
        <w:t xml:space="preserve"> </w:t>
      </w:r>
      <w:r w:rsidRPr="001863DD">
        <w:rPr>
          <w:lang w:val="de-AT"/>
        </w:rPr>
        <w:t>jährlichen Überhitzungsstunden auf 10 % der Nutzungszeit. Im Gegensatz zu den oben</w:t>
      </w:r>
      <w:r>
        <w:rPr>
          <w:lang w:val="de-AT"/>
        </w:rPr>
        <w:t xml:space="preserve"> </w:t>
      </w:r>
      <w:r w:rsidRPr="001863DD">
        <w:rPr>
          <w:lang w:val="de-AT"/>
        </w:rPr>
        <w:t>genannten Bewertungen bezieht sich die Nutzungszeit hier auf das gesamte Jahr, also</w:t>
      </w:r>
      <w:r>
        <w:rPr>
          <w:lang w:val="de-AT"/>
        </w:rPr>
        <w:t xml:space="preserve"> </w:t>
      </w:r>
      <w:r w:rsidRPr="001863DD">
        <w:rPr>
          <w:lang w:val="de-AT"/>
        </w:rPr>
        <w:t>auf rund 2.600 h/a. Die Anzahl der Überhitzungsstunden ist in Abbildung 94 für die</w:t>
      </w:r>
      <w:r>
        <w:rPr>
          <w:lang w:val="de-AT"/>
        </w:rPr>
        <w:t xml:space="preserve"> </w:t>
      </w:r>
      <w:r w:rsidRPr="001863DD">
        <w:rPr>
          <w:lang w:val="de-AT"/>
        </w:rPr>
        <w:t>19 Messräume für die Jahre 2008 und 2009 dargestellt. In keinem Raum wurde die</w:t>
      </w:r>
      <w:r>
        <w:rPr>
          <w:lang w:val="de-AT"/>
        </w:rPr>
        <w:t xml:space="preserve"> </w:t>
      </w:r>
      <w:r w:rsidRPr="001863DD">
        <w:rPr>
          <w:lang w:val="de-AT"/>
        </w:rPr>
        <w:t>zulässige Anzahl von jährlichen Überhitzungsstunden überschritten.</w:t>
      </w:r>
    </w:p>
    <w:p w:rsidR="001863DD" w:rsidRDefault="001863DD" w:rsidP="0096109A">
      <w:pPr>
        <w:jc w:val="center"/>
        <w:rPr>
          <w:lang w:val="de-AT"/>
        </w:rPr>
      </w:pPr>
      <w:r>
        <w:rPr>
          <w:noProof/>
          <w:lang w:val="de-AT" w:eastAsia="de-AT"/>
        </w:rPr>
        <w:drawing>
          <wp:inline distT="0" distB="0" distL="0" distR="0" wp14:anchorId="72157BCA" wp14:editId="36694284">
            <wp:extent cx="4230094" cy="2230941"/>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5669" t="24779" r="53943" b="7051"/>
                    <a:stretch/>
                  </pic:blipFill>
                  <pic:spPr bwMode="auto">
                    <a:xfrm>
                      <a:off x="0" y="0"/>
                      <a:ext cx="4238506" cy="2235377"/>
                    </a:xfrm>
                    <a:prstGeom prst="rect">
                      <a:avLst/>
                    </a:prstGeom>
                    <a:ln>
                      <a:noFill/>
                    </a:ln>
                    <a:extLst>
                      <a:ext uri="{53640926-AAD7-44D8-BBD7-CCE9431645EC}">
                        <a14:shadowObscured xmlns:a14="http://schemas.microsoft.com/office/drawing/2010/main"/>
                      </a:ext>
                    </a:extLst>
                  </pic:spPr>
                </pic:pic>
              </a:graphicData>
            </a:graphic>
          </wp:inline>
        </w:drawing>
      </w:r>
    </w:p>
    <w:p w:rsidR="001863DD" w:rsidRDefault="001863DD" w:rsidP="0096109A">
      <w:pPr>
        <w:jc w:val="both"/>
        <w:rPr>
          <w:lang w:val="de-AT"/>
        </w:rPr>
      </w:pPr>
      <w:r w:rsidRPr="001863DD">
        <w:rPr>
          <w:lang w:val="de-AT"/>
        </w:rPr>
        <w:t>Abbildung 96 zeigt die Messwerte für die Raumtemperatur über der Außentemperatur für</w:t>
      </w:r>
      <w:r>
        <w:rPr>
          <w:lang w:val="de-AT"/>
        </w:rPr>
        <w:t xml:space="preserve"> </w:t>
      </w:r>
      <w:r w:rsidRPr="001863DD">
        <w:rPr>
          <w:lang w:val="de-AT"/>
        </w:rPr>
        <w:t>den Raum S3a mit der höchsten Anzahl von Überhitzungsstunden in 2009.</w:t>
      </w:r>
    </w:p>
    <w:p w:rsidR="001863DD" w:rsidRDefault="001863DD" w:rsidP="001863DD">
      <w:pPr>
        <w:rPr>
          <w:lang w:val="de-AT"/>
        </w:rPr>
      </w:pPr>
      <w:r>
        <w:rPr>
          <w:noProof/>
          <w:lang w:val="de-AT" w:eastAsia="de-AT"/>
        </w:rPr>
        <w:drawing>
          <wp:inline distT="0" distB="0" distL="0" distR="0" wp14:anchorId="62E4EED1" wp14:editId="2D4021FA">
            <wp:extent cx="3912042" cy="1949205"/>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5669" t="17257" r="54634" b="19442"/>
                    <a:stretch/>
                  </pic:blipFill>
                  <pic:spPr bwMode="auto">
                    <a:xfrm>
                      <a:off x="0" y="0"/>
                      <a:ext cx="3919821" cy="1953081"/>
                    </a:xfrm>
                    <a:prstGeom prst="rect">
                      <a:avLst/>
                    </a:prstGeom>
                    <a:ln>
                      <a:noFill/>
                    </a:ln>
                    <a:extLst>
                      <a:ext uri="{53640926-AAD7-44D8-BBD7-CCE9431645EC}">
                        <a14:shadowObscured xmlns:a14="http://schemas.microsoft.com/office/drawing/2010/main"/>
                      </a:ext>
                    </a:extLst>
                  </pic:spPr>
                </pic:pic>
              </a:graphicData>
            </a:graphic>
          </wp:inline>
        </w:drawing>
      </w:r>
    </w:p>
    <w:p w:rsidR="001863DD" w:rsidRDefault="001863DD" w:rsidP="00693E8F">
      <w:pPr>
        <w:jc w:val="both"/>
        <w:rPr>
          <w:lang w:val="de-AT"/>
        </w:rPr>
      </w:pPr>
      <w:r w:rsidRPr="001863DD">
        <w:rPr>
          <w:lang w:val="de-AT"/>
        </w:rPr>
        <w:t>Die Außenlufttemperaturen wichen in 2009 insgesamt nicht signifikant von denen im</w:t>
      </w:r>
      <w:r>
        <w:rPr>
          <w:lang w:val="de-AT"/>
        </w:rPr>
        <w:t xml:space="preserve"> </w:t>
      </w:r>
      <w:r w:rsidRPr="001863DD">
        <w:rPr>
          <w:lang w:val="de-AT"/>
        </w:rPr>
        <w:t>Sommer 2008 ab (siehe Kapitel 6.1.1). Die</w:t>
      </w:r>
      <w:r>
        <w:rPr>
          <w:lang w:val="de-AT"/>
        </w:rPr>
        <w:t xml:space="preserve"> </w:t>
      </w:r>
      <w:r w:rsidRPr="001863DD">
        <w:rPr>
          <w:lang w:val="de-AT"/>
        </w:rPr>
        <w:t>Betriebsanalyse zeigt, dass die</w:t>
      </w:r>
      <w:r>
        <w:rPr>
          <w:lang w:val="de-AT"/>
        </w:rPr>
        <w:t xml:space="preserve"> </w:t>
      </w:r>
      <w:r w:rsidRPr="001863DD">
        <w:rPr>
          <w:lang w:val="de-AT"/>
        </w:rPr>
        <w:t>Betonkernaktivierung in 2009 mit Ausnahme einer Stunde nicht eingeschaltet wurde,</w:t>
      </w:r>
      <w:r>
        <w:rPr>
          <w:lang w:val="de-AT"/>
        </w:rPr>
        <w:t xml:space="preserve"> </w:t>
      </w:r>
      <w:r w:rsidRPr="001863DD">
        <w:rPr>
          <w:lang w:val="de-AT"/>
        </w:rPr>
        <w:t>nachdem sie in 2008 an rund 20 h eingeschaltet war. Ein direkter messtechnischer</w:t>
      </w:r>
      <w:r>
        <w:rPr>
          <w:lang w:val="de-AT"/>
        </w:rPr>
        <w:t xml:space="preserve"> </w:t>
      </w:r>
      <w:r w:rsidRPr="001863DD">
        <w:rPr>
          <w:lang w:val="de-AT"/>
        </w:rPr>
        <w:t>Nachweis der Funktion und Wirkung in Raum S3a liegt jedoch nicht vor.</w:t>
      </w:r>
    </w:p>
    <w:p w:rsidR="006710A8" w:rsidRPr="009D5A90" w:rsidRDefault="006710A8" w:rsidP="00FB112A">
      <w:pPr>
        <w:pStyle w:val="berschrift5"/>
        <w:rPr>
          <w:lang w:val="de-AT"/>
        </w:rPr>
      </w:pPr>
      <w:r w:rsidRPr="009D5A90">
        <w:rPr>
          <w:lang w:val="de-AT"/>
        </w:rPr>
        <w:t>Betriebsstrategien</w:t>
      </w:r>
      <w:r w:rsidR="009D5A90" w:rsidRPr="009D5A90">
        <w:rPr>
          <w:lang w:val="de-AT"/>
        </w:rPr>
        <w:t xml:space="preserve"> </w:t>
      </w:r>
      <w:r w:rsidRPr="009D5A90">
        <w:rPr>
          <w:lang w:val="de-AT"/>
        </w:rPr>
        <w:t>für EnergiePLUS-Gebäude am Beispiel der Berghalde</w:t>
      </w:r>
      <w:r w:rsidR="009D5A90" w:rsidRPr="009D5A90">
        <w:rPr>
          <w:lang w:val="de-AT"/>
        </w:rPr>
        <w:t xml:space="preserve"> </w:t>
      </w:r>
      <w:r w:rsidR="009D5A90" w:rsidRPr="009D5A90">
        <w:rPr>
          <w:lang w:val="en-US"/>
        </w:rPr>
        <w:fldChar w:fldCharType="begin"/>
      </w:r>
      <w:r w:rsidR="009D5A90" w:rsidRPr="009D5A90">
        <w:rPr>
          <w:lang w:val="de-AT"/>
        </w:rPr>
        <w:instrText xml:space="preserve"> ADDIN EN.CITE &lt;EndNote&gt;&lt;Cite&gt;&lt;Author&gt;Braunschweig&lt;/Author&gt;&lt;RecNum&gt;11415&lt;/RecNum&gt;&lt;DisplayText&gt;(Braunschweig)&lt;/DisplayText&gt;&lt;record&gt;&lt;rec-number&gt;11415&lt;/rec-number&gt;&lt;foreign-keys&gt;&lt;key app="EN" db-id="zxrx2rspbdeppzeza5fv0e03vdwxr5svazdr" timestamp="1455792693"&gt;11415&lt;/key&gt;&lt;key app="ENWeb" db-id=""&gt;0&lt;/key&gt;&lt;/foreign-keys&gt;&lt;ref-type name="Journal Article"&gt;17&lt;/ref-type&gt;&lt;contributors&gt;&lt;authors&gt;&lt;author&gt;TU Braunschweig&lt;/author&gt;&lt;/authors&gt;&lt;/contributors&gt;&lt;titles&gt;&lt;title&gt;Betriebsstrategien für EnergiePLUS-Gebäude am Beispiel der Berghalde&lt;/title&gt;&lt;/titles&gt;&lt;dates&gt;&lt;/dates&gt;&lt;urls&gt;&lt;/urls&gt;&lt;/record&gt;&lt;/Cite&gt;&lt;/EndNote&gt;</w:instrText>
      </w:r>
      <w:r w:rsidR="009D5A90" w:rsidRPr="009D5A90">
        <w:rPr>
          <w:lang w:val="en-US"/>
        </w:rPr>
        <w:fldChar w:fldCharType="separate"/>
      </w:r>
      <w:r w:rsidR="009D5A90" w:rsidRPr="009D5A90">
        <w:rPr>
          <w:lang w:val="de-AT"/>
        </w:rPr>
        <w:t>(</w:t>
      </w:r>
      <w:hyperlink w:anchor="_ENREF_1" w:tooltip="Braunschweig,  #11415" w:history="1">
        <w:r w:rsidR="00C64325" w:rsidRPr="009D5A90">
          <w:rPr>
            <w:lang w:val="de-AT"/>
          </w:rPr>
          <w:t>Braunschweig</w:t>
        </w:r>
      </w:hyperlink>
      <w:r w:rsidR="009D5A90" w:rsidRPr="009D5A90">
        <w:rPr>
          <w:lang w:val="de-AT"/>
        </w:rPr>
        <w:t>)</w:t>
      </w:r>
      <w:r w:rsidR="009D5A90" w:rsidRPr="009D5A90">
        <w:rPr>
          <w:lang w:val="en-US"/>
        </w:rPr>
        <w:fldChar w:fldCharType="end"/>
      </w:r>
    </w:p>
    <w:p w:rsidR="006C48BC" w:rsidRPr="006C48BC" w:rsidRDefault="006C48BC" w:rsidP="00693E8F">
      <w:pPr>
        <w:jc w:val="both"/>
        <w:rPr>
          <w:lang w:val="de-AT"/>
        </w:rPr>
      </w:pPr>
      <w:r w:rsidRPr="006C48BC">
        <w:rPr>
          <w:lang w:val="de-AT"/>
        </w:rPr>
        <w:t>Im Rahmen des Forschungsprojekts werden zu folgenden Perioden Messungen durchgeführt:</w:t>
      </w:r>
    </w:p>
    <w:p w:rsidR="006C48BC" w:rsidRPr="006C48BC" w:rsidRDefault="006C48BC" w:rsidP="006C48BC">
      <w:pPr>
        <w:rPr>
          <w:lang w:val="de-AT"/>
        </w:rPr>
      </w:pPr>
      <w:r w:rsidRPr="006C48BC">
        <w:rPr>
          <w:lang w:val="de-AT"/>
        </w:rPr>
        <w:t>Winter: 28.11. – 30.11.2013, 04. - 14.02.2014 und 23.01. – 03.02.2015</w:t>
      </w:r>
    </w:p>
    <w:p w:rsidR="006C48BC" w:rsidRPr="006C48BC" w:rsidRDefault="006C48BC" w:rsidP="006C48BC">
      <w:pPr>
        <w:rPr>
          <w:lang w:val="de-AT"/>
        </w:rPr>
      </w:pPr>
      <w:r w:rsidRPr="006C48BC">
        <w:rPr>
          <w:lang w:val="de-AT"/>
        </w:rPr>
        <w:t>Übergang: 08. – 22.05.2014 und 20. – 29.05.2015</w:t>
      </w:r>
    </w:p>
    <w:p w:rsidR="006C48BC" w:rsidRPr="006C48BC" w:rsidRDefault="006C48BC" w:rsidP="006C48BC">
      <w:pPr>
        <w:rPr>
          <w:lang w:val="de-AT"/>
        </w:rPr>
      </w:pPr>
      <w:r w:rsidRPr="006C48BC">
        <w:rPr>
          <w:lang w:val="de-AT"/>
        </w:rPr>
        <w:t>Sommer: 14. - 21.08.2014</w:t>
      </w:r>
    </w:p>
    <w:p w:rsidR="006C48BC" w:rsidRPr="006C48BC" w:rsidRDefault="006C48BC" w:rsidP="00FB112A">
      <w:pPr>
        <w:pStyle w:val="berschrift6"/>
        <w:rPr>
          <w:lang w:val="de-AT"/>
        </w:rPr>
      </w:pPr>
      <w:r w:rsidRPr="006C48BC">
        <w:rPr>
          <w:lang w:val="de-AT"/>
        </w:rPr>
        <w:t>Operative Raumtemperatur / relative Raumluftfeuchte</w:t>
      </w:r>
    </w:p>
    <w:p w:rsidR="006710A8" w:rsidRDefault="006C48BC" w:rsidP="00693E8F">
      <w:pPr>
        <w:jc w:val="both"/>
        <w:rPr>
          <w:lang w:val="de-AT"/>
        </w:rPr>
      </w:pPr>
      <w:r w:rsidRPr="006C48BC">
        <w:rPr>
          <w:lang w:val="de-AT"/>
        </w:rPr>
        <w:t>In allen sechs Messperioden beträgt die operative Raumlufttemperatur ganzjährig 20 bis</w:t>
      </w:r>
      <w:r>
        <w:rPr>
          <w:lang w:val="de-AT"/>
        </w:rPr>
        <w:t xml:space="preserve"> </w:t>
      </w:r>
      <w:r w:rsidRPr="006C48BC">
        <w:rPr>
          <w:lang w:val="de-AT"/>
        </w:rPr>
        <w:t>25°C. Dies entspricht einem guten bis eingeschränkten Normbereic</w:t>
      </w:r>
      <w:r>
        <w:rPr>
          <w:lang w:val="de-AT"/>
        </w:rPr>
        <w:t>h. In der Sommerzeit kön</w:t>
      </w:r>
      <w:r w:rsidRPr="006C48BC">
        <w:rPr>
          <w:lang w:val="de-AT"/>
        </w:rPr>
        <w:t>nen die operativen Raumlufttemperaturen aufgrund der R</w:t>
      </w:r>
      <w:r>
        <w:rPr>
          <w:lang w:val="de-AT"/>
        </w:rPr>
        <w:t>aumkühlung über die Fußbodenhei</w:t>
      </w:r>
      <w:r w:rsidRPr="006C48BC">
        <w:rPr>
          <w:lang w:val="de-AT"/>
        </w:rPr>
        <w:t>zung auf Messwerte unter 25°C gehalten werden.</w:t>
      </w:r>
    </w:p>
    <w:p w:rsidR="006C48BC" w:rsidRPr="006C48BC" w:rsidRDefault="006C48BC" w:rsidP="00693E8F">
      <w:pPr>
        <w:jc w:val="both"/>
        <w:rPr>
          <w:lang w:val="de-AT"/>
        </w:rPr>
      </w:pPr>
      <w:r w:rsidRPr="006C48BC">
        <w:rPr>
          <w:lang w:val="de-AT"/>
        </w:rPr>
        <w:t>Die relative Raumluftfeuchte schwankt innerhalb der Messzeiträume zwischen 10 bis 80%. In</w:t>
      </w:r>
      <w:r w:rsidR="00FB112A">
        <w:rPr>
          <w:lang w:val="de-AT"/>
        </w:rPr>
        <w:t xml:space="preserve"> </w:t>
      </w:r>
      <w:r w:rsidRPr="006C48BC">
        <w:rPr>
          <w:lang w:val="de-AT"/>
        </w:rPr>
        <w:t>den Winterperioden ist die relative Raumluftfeuchte einmal im akzeptablen Bereich (50 - 60%)</w:t>
      </w:r>
      <w:r w:rsidR="00A368AC">
        <w:rPr>
          <w:lang w:val="de-AT"/>
        </w:rPr>
        <w:t xml:space="preserve"> </w:t>
      </w:r>
      <w:r w:rsidRPr="006C48BC">
        <w:rPr>
          <w:lang w:val="de-AT"/>
        </w:rPr>
        <w:t>und im darauffolgenden Winter zu trocken (&lt;30%). In der Ü</w:t>
      </w:r>
      <w:r w:rsidR="00A368AC">
        <w:rPr>
          <w:lang w:val="de-AT"/>
        </w:rPr>
        <w:t>bergangszeit variieren die Mess</w:t>
      </w:r>
      <w:r w:rsidRPr="006C48BC">
        <w:rPr>
          <w:lang w:val="de-AT"/>
        </w:rPr>
        <w:t>werte ebenfalls von gut (30-50%) bis zum eingeschränkten Komfortbereich (feucht, &gt;60%). Im</w:t>
      </w:r>
      <w:r w:rsidR="00A368AC">
        <w:rPr>
          <w:lang w:val="de-AT"/>
        </w:rPr>
        <w:t xml:space="preserve"> </w:t>
      </w:r>
      <w:r w:rsidRPr="006C48BC">
        <w:rPr>
          <w:lang w:val="de-AT"/>
        </w:rPr>
        <w:t>Sommer 2014 konnte die Messung aufgrund eines defekte</w:t>
      </w:r>
      <w:r w:rsidR="00A368AC">
        <w:rPr>
          <w:lang w:val="de-AT"/>
        </w:rPr>
        <w:t>n Feuchtefühlers nicht ordnungs</w:t>
      </w:r>
      <w:r w:rsidRPr="006C48BC">
        <w:rPr>
          <w:lang w:val="de-AT"/>
        </w:rPr>
        <w:t>gemäß durchgeführt werden. Das Behaglichkeitsempfinden wird durch die schwankende</w:t>
      </w:r>
      <w:r w:rsidR="00A368AC">
        <w:rPr>
          <w:lang w:val="de-AT"/>
        </w:rPr>
        <w:t xml:space="preserve"> </w:t>
      </w:r>
      <w:r w:rsidRPr="006C48BC">
        <w:rPr>
          <w:lang w:val="de-AT"/>
        </w:rPr>
        <w:t>Raumluftfeuchte eingeschränkt.</w:t>
      </w:r>
    </w:p>
    <w:p w:rsidR="006C48BC" w:rsidRDefault="006C48BC" w:rsidP="00693E8F">
      <w:pPr>
        <w:jc w:val="both"/>
        <w:rPr>
          <w:lang w:val="de-AT"/>
        </w:rPr>
      </w:pPr>
      <w:r w:rsidRPr="006C48BC">
        <w:rPr>
          <w:lang w:val="de-AT"/>
        </w:rPr>
        <w:t>In den Winter- bzw. Heizperiode wird häufig von trockenen Räumen gesprochen. Dies tritt</w:t>
      </w:r>
      <w:r w:rsidR="00A368AC">
        <w:rPr>
          <w:lang w:val="de-AT"/>
        </w:rPr>
        <w:t xml:space="preserve"> </w:t>
      </w:r>
      <w:r w:rsidRPr="006C48BC">
        <w:rPr>
          <w:lang w:val="de-AT"/>
        </w:rPr>
        <w:t xml:space="preserve">auch bei der Berghalde auf. Grund ist u.a. die Lüftungsanlage, die durch die WRG der </w:t>
      </w:r>
      <w:r w:rsidR="00A368AC">
        <w:rPr>
          <w:lang w:val="de-AT"/>
        </w:rPr>
        <w:t>Außen</w:t>
      </w:r>
      <w:r w:rsidRPr="006C48BC">
        <w:rPr>
          <w:lang w:val="de-AT"/>
        </w:rPr>
        <w:t>luft die Feuchtigkeit entzieht (Abbildung 99) und dann keine Befeuchtung der Zuluft bietet.</w:t>
      </w:r>
    </w:p>
    <w:p w:rsidR="006C48BC" w:rsidRDefault="006C48BC" w:rsidP="0096109A">
      <w:pPr>
        <w:jc w:val="center"/>
        <w:rPr>
          <w:highlight w:val="yellow"/>
          <w:lang w:val="de-AT"/>
        </w:rPr>
      </w:pPr>
      <w:r>
        <w:rPr>
          <w:noProof/>
          <w:lang w:val="de-AT" w:eastAsia="de-AT"/>
        </w:rPr>
        <w:drawing>
          <wp:inline distT="0" distB="0" distL="0" distR="0" wp14:anchorId="220296EB" wp14:editId="7BDDB146">
            <wp:extent cx="4047214" cy="3431739"/>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9540" t="14601" r="60445" b="3946"/>
                    <a:stretch/>
                  </pic:blipFill>
                  <pic:spPr bwMode="auto">
                    <a:xfrm>
                      <a:off x="0" y="0"/>
                      <a:ext cx="4055337" cy="3438627"/>
                    </a:xfrm>
                    <a:prstGeom prst="rect">
                      <a:avLst/>
                    </a:prstGeom>
                    <a:ln>
                      <a:noFill/>
                    </a:ln>
                    <a:extLst>
                      <a:ext uri="{53640926-AAD7-44D8-BBD7-CCE9431645EC}">
                        <a14:shadowObscured xmlns:a14="http://schemas.microsoft.com/office/drawing/2010/main"/>
                      </a:ext>
                    </a:extLst>
                  </pic:spPr>
                </pic:pic>
              </a:graphicData>
            </a:graphic>
          </wp:inline>
        </w:drawing>
      </w:r>
    </w:p>
    <w:p w:rsidR="006C48BC" w:rsidRDefault="006C48BC" w:rsidP="0096109A">
      <w:pPr>
        <w:jc w:val="center"/>
        <w:rPr>
          <w:highlight w:val="yellow"/>
          <w:lang w:val="de-AT"/>
        </w:rPr>
      </w:pPr>
      <w:r>
        <w:rPr>
          <w:noProof/>
          <w:lang w:val="de-AT" w:eastAsia="de-AT"/>
        </w:rPr>
        <w:drawing>
          <wp:inline distT="0" distB="0" distL="0" distR="0" wp14:anchorId="1E4FFF30" wp14:editId="429E29A5">
            <wp:extent cx="3904091" cy="2492343"/>
            <wp:effectExtent l="0" t="0" r="1270" b="381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9402" t="25221" r="59615" b="11476"/>
                    <a:stretch/>
                  </pic:blipFill>
                  <pic:spPr bwMode="auto">
                    <a:xfrm>
                      <a:off x="0" y="0"/>
                      <a:ext cx="3915953" cy="2499916"/>
                    </a:xfrm>
                    <a:prstGeom prst="rect">
                      <a:avLst/>
                    </a:prstGeom>
                    <a:ln>
                      <a:noFill/>
                    </a:ln>
                    <a:extLst>
                      <a:ext uri="{53640926-AAD7-44D8-BBD7-CCE9431645EC}">
                        <a14:shadowObscured xmlns:a14="http://schemas.microsoft.com/office/drawing/2010/main"/>
                      </a:ext>
                    </a:extLst>
                  </pic:spPr>
                </pic:pic>
              </a:graphicData>
            </a:graphic>
          </wp:inline>
        </w:drawing>
      </w:r>
    </w:p>
    <w:p w:rsidR="006C48BC" w:rsidRDefault="006C48BC" w:rsidP="00A368AC">
      <w:pPr>
        <w:jc w:val="center"/>
        <w:rPr>
          <w:highlight w:val="yellow"/>
          <w:lang w:val="de-AT"/>
        </w:rPr>
      </w:pPr>
      <w:r>
        <w:rPr>
          <w:noProof/>
          <w:lang w:val="de-AT" w:eastAsia="de-AT"/>
        </w:rPr>
        <w:drawing>
          <wp:inline distT="0" distB="0" distL="0" distR="0" wp14:anchorId="7C56467D" wp14:editId="5FB19301">
            <wp:extent cx="3856382" cy="2296689"/>
            <wp:effectExtent l="0" t="0" r="0" b="889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8987" t="26549" r="59892" b="14133"/>
                    <a:stretch/>
                  </pic:blipFill>
                  <pic:spPr bwMode="auto">
                    <a:xfrm>
                      <a:off x="0" y="0"/>
                      <a:ext cx="3869203" cy="2304325"/>
                    </a:xfrm>
                    <a:prstGeom prst="rect">
                      <a:avLst/>
                    </a:prstGeom>
                    <a:ln>
                      <a:noFill/>
                    </a:ln>
                    <a:extLst>
                      <a:ext uri="{53640926-AAD7-44D8-BBD7-CCE9431645EC}">
                        <a14:shadowObscured xmlns:a14="http://schemas.microsoft.com/office/drawing/2010/main"/>
                      </a:ext>
                    </a:extLst>
                  </pic:spPr>
                </pic:pic>
              </a:graphicData>
            </a:graphic>
          </wp:inline>
        </w:drawing>
      </w:r>
    </w:p>
    <w:p w:rsidR="006C48BC" w:rsidRPr="006C48BC" w:rsidRDefault="006C48BC" w:rsidP="00FB112A">
      <w:pPr>
        <w:pStyle w:val="berschrift6"/>
        <w:rPr>
          <w:lang w:val="de-AT"/>
        </w:rPr>
      </w:pPr>
      <w:r w:rsidRPr="006C48BC">
        <w:rPr>
          <w:lang w:val="de-AT"/>
        </w:rPr>
        <w:t>Predicted Mean Vote (PMV)</w:t>
      </w:r>
    </w:p>
    <w:p w:rsidR="006C48BC" w:rsidRDefault="006C48BC" w:rsidP="0096109A">
      <w:pPr>
        <w:jc w:val="both"/>
        <w:rPr>
          <w:lang w:val="de-AT"/>
        </w:rPr>
      </w:pPr>
      <w:r w:rsidRPr="006C48BC">
        <w:rPr>
          <w:lang w:val="de-AT"/>
        </w:rPr>
        <w:t>Anhand von Abbildung 101 ist zu erkennen, dass der PMV-Wert im tageszeitlichen Verlauf</w:t>
      </w:r>
      <w:r w:rsidR="0096109A">
        <w:rPr>
          <w:lang w:val="de-AT"/>
        </w:rPr>
        <w:t xml:space="preserve"> </w:t>
      </w:r>
      <w:r w:rsidRPr="006C48BC">
        <w:rPr>
          <w:lang w:val="de-AT"/>
        </w:rPr>
        <w:t>unterschiedlich ausfällt. Dabei ist auffallend, dass tagsüber (10 – 20 Uhr, blaue Markierung)</w:t>
      </w:r>
      <w:r w:rsidR="0096109A">
        <w:rPr>
          <w:lang w:val="de-AT"/>
        </w:rPr>
        <w:t xml:space="preserve"> </w:t>
      </w:r>
      <w:r w:rsidRPr="006C48BC">
        <w:rPr>
          <w:lang w:val="de-AT"/>
        </w:rPr>
        <w:t>ein guter bis akzeptabler Komfort im Gebäude erzielt wird und in der Nacht der PMV abfällt.</w:t>
      </w:r>
      <w:r w:rsidR="0096109A">
        <w:rPr>
          <w:lang w:val="de-AT"/>
        </w:rPr>
        <w:t xml:space="preserve"> </w:t>
      </w:r>
      <w:r w:rsidRPr="006C48BC">
        <w:rPr>
          <w:lang w:val="de-AT"/>
        </w:rPr>
        <w:t>Da in der Nacht die Einhaltung des PMV im Wohn- und Essbereich nicht erforderlich ist, wirkt</w:t>
      </w:r>
      <w:r w:rsidR="0096109A">
        <w:rPr>
          <w:lang w:val="de-AT"/>
        </w:rPr>
        <w:t xml:space="preserve"> </w:t>
      </w:r>
      <w:r w:rsidRPr="006C48BC">
        <w:rPr>
          <w:lang w:val="de-AT"/>
        </w:rPr>
        <w:t>sich diese Feststellung nicht verschlechternd auf die Bewertung des Raumkomforts aus. Es ist</w:t>
      </w:r>
      <w:r w:rsidR="0096109A">
        <w:rPr>
          <w:lang w:val="de-AT"/>
        </w:rPr>
        <w:t xml:space="preserve"> </w:t>
      </w:r>
      <w:r w:rsidRPr="006C48BC">
        <w:rPr>
          <w:lang w:val="de-AT"/>
        </w:rPr>
        <w:t>zudem festzustellen, dass im Winter 2015 ein eingeschränkter Komfort vorliegt und die Werte</w:t>
      </w:r>
      <w:r w:rsidR="0096109A">
        <w:rPr>
          <w:lang w:val="de-AT"/>
        </w:rPr>
        <w:t xml:space="preserve"> </w:t>
      </w:r>
      <w:r w:rsidRPr="006C48BC">
        <w:rPr>
          <w:lang w:val="de-AT"/>
        </w:rPr>
        <w:t>in der Skala unter -0,5 fallen und damit aus dem als eingeschränkt behaglichen Bereich</w:t>
      </w:r>
      <w:r w:rsidR="0096109A">
        <w:rPr>
          <w:lang w:val="de-AT"/>
        </w:rPr>
        <w:t xml:space="preserve"> </w:t>
      </w:r>
      <w:r w:rsidRPr="006C48BC">
        <w:rPr>
          <w:lang w:val="de-AT"/>
        </w:rPr>
        <w:t>herausfallen. Der PMV bildet sich aus allen gemessenen Bewertungskriterien. Da im Winter</w:t>
      </w:r>
      <w:r w:rsidR="0096109A">
        <w:rPr>
          <w:lang w:val="de-AT"/>
        </w:rPr>
        <w:t xml:space="preserve"> </w:t>
      </w:r>
      <w:r w:rsidRPr="006C48BC">
        <w:rPr>
          <w:lang w:val="de-AT"/>
        </w:rPr>
        <w:t>2015 die Raumluftfeuchte sehr trocken war, spiegelt sich dies auch im PMV und somit in der</w:t>
      </w:r>
      <w:r w:rsidR="0096109A">
        <w:rPr>
          <w:lang w:val="de-AT"/>
        </w:rPr>
        <w:t xml:space="preserve"> </w:t>
      </w:r>
      <w:r w:rsidRPr="006C48BC">
        <w:rPr>
          <w:lang w:val="de-AT"/>
        </w:rPr>
        <w:t>Gesamtbewertung des Komforts wieder.</w:t>
      </w:r>
    </w:p>
    <w:p w:rsidR="006C48BC" w:rsidRDefault="006C48BC" w:rsidP="00A368AC">
      <w:pPr>
        <w:jc w:val="center"/>
        <w:rPr>
          <w:highlight w:val="yellow"/>
          <w:lang w:val="de-AT"/>
        </w:rPr>
      </w:pPr>
      <w:r>
        <w:rPr>
          <w:noProof/>
          <w:lang w:val="de-AT" w:eastAsia="de-AT"/>
        </w:rPr>
        <w:drawing>
          <wp:inline distT="0" distB="0" distL="0" distR="0" wp14:anchorId="7EEEC2BA" wp14:editId="3117F2BF">
            <wp:extent cx="3164620" cy="3310119"/>
            <wp:effectExtent l="0" t="0" r="0" b="508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2444" t="15929" r="63489" b="3502"/>
                    <a:stretch/>
                  </pic:blipFill>
                  <pic:spPr bwMode="auto">
                    <a:xfrm>
                      <a:off x="0" y="0"/>
                      <a:ext cx="3171019" cy="3316812"/>
                    </a:xfrm>
                    <a:prstGeom prst="rect">
                      <a:avLst/>
                    </a:prstGeom>
                    <a:ln>
                      <a:noFill/>
                    </a:ln>
                    <a:extLst>
                      <a:ext uri="{53640926-AAD7-44D8-BBD7-CCE9431645EC}">
                        <a14:shadowObscured xmlns:a14="http://schemas.microsoft.com/office/drawing/2010/main"/>
                      </a:ext>
                    </a:extLst>
                  </pic:spPr>
                </pic:pic>
              </a:graphicData>
            </a:graphic>
          </wp:inline>
        </w:drawing>
      </w:r>
    </w:p>
    <w:p w:rsidR="006C48BC" w:rsidRPr="006C48BC" w:rsidRDefault="006C48BC" w:rsidP="00FB112A">
      <w:pPr>
        <w:pStyle w:val="berschrift6"/>
        <w:rPr>
          <w:lang w:val="en-US"/>
        </w:rPr>
      </w:pPr>
      <w:r w:rsidRPr="006C48BC">
        <w:rPr>
          <w:lang w:val="en-US"/>
        </w:rPr>
        <w:t>Gesamtbewertung und Predicted Percentage of Dissatisfied (PPD)</w:t>
      </w:r>
    </w:p>
    <w:p w:rsidR="006C48BC" w:rsidRDefault="006C48BC" w:rsidP="006C48BC">
      <w:pPr>
        <w:jc w:val="both"/>
        <w:rPr>
          <w:lang w:val="de-AT"/>
        </w:rPr>
      </w:pPr>
      <w:r w:rsidRPr="006C48BC">
        <w:rPr>
          <w:lang w:val="de-AT"/>
        </w:rPr>
        <w:t>In der Gesamtauswertung aller messtechnisch erfassten und bewerteten Messgrößen, wie</w:t>
      </w:r>
      <w:r>
        <w:rPr>
          <w:lang w:val="de-AT"/>
        </w:rPr>
        <w:t xml:space="preserve"> </w:t>
      </w:r>
      <w:r w:rsidRPr="006C48BC">
        <w:rPr>
          <w:lang w:val="de-AT"/>
        </w:rPr>
        <w:t>Strahlungstemperaturasymmetrie, Zugluftrisiko, operative Raumtemperatur, und unter der</w:t>
      </w:r>
      <w:r>
        <w:rPr>
          <w:lang w:val="de-AT"/>
        </w:rPr>
        <w:t xml:space="preserve"> </w:t>
      </w:r>
      <w:r w:rsidRPr="006C48BC">
        <w:rPr>
          <w:lang w:val="de-AT"/>
        </w:rPr>
        <w:t>Bildung des PPD (predicted percentage of dissatisfied) ist für</w:t>
      </w:r>
      <w:r>
        <w:rPr>
          <w:lang w:val="de-AT"/>
        </w:rPr>
        <w:t xml:space="preserve"> alle sechs Messperioden festzu</w:t>
      </w:r>
      <w:r w:rsidRPr="006C48BC">
        <w:rPr>
          <w:lang w:val="de-AT"/>
        </w:rPr>
        <w:t>stellen (Tabelle 29), dass in den einzelnen Bewertungskategorien die Kriterien für einen guten</w:t>
      </w:r>
      <w:r>
        <w:rPr>
          <w:lang w:val="de-AT"/>
        </w:rPr>
        <w:t xml:space="preserve"> </w:t>
      </w:r>
      <w:r w:rsidRPr="006C48BC">
        <w:rPr>
          <w:lang w:val="de-AT"/>
        </w:rPr>
        <w:t>Komfort eingehalten werden. Wie bereits in der Auswertung der relativen Raumluftfeuchte</w:t>
      </w:r>
      <w:r>
        <w:rPr>
          <w:lang w:val="de-AT"/>
        </w:rPr>
        <w:t xml:space="preserve"> </w:t>
      </w:r>
      <w:r w:rsidRPr="006C48BC">
        <w:rPr>
          <w:lang w:val="de-AT"/>
        </w:rPr>
        <w:t>angemerkt wird, bestehen hier Einschränkungen im Raumkomfort.</w:t>
      </w:r>
    </w:p>
    <w:p w:rsidR="006C48BC" w:rsidRPr="006C48BC" w:rsidRDefault="006C48BC" w:rsidP="006C48BC">
      <w:pPr>
        <w:jc w:val="both"/>
        <w:rPr>
          <w:lang w:val="de-AT"/>
        </w:rPr>
      </w:pPr>
      <w:r w:rsidRPr="006C48BC">
        <w:rPr>
          <w:lang w:val="de-AT"/>
        </w:rPr>
        <w:t>Bei der Betrachtung des PMV und PPD (Prozentsatz unzufriedener Nutzer) ist allerdings zu</w:t>
      </w:r>
      <w:r>
        <w:rPr>
          <w:lang w:val="de-AT"/>
        </w:rPr>
        <w:t xml:space="preserve"> </w:t>
      </w:r>
      <w:r w:rsidRPr="006C48BC">
        <w:rPr>
          <w:lang w:val="de-AT"/>
        </w:rPr>
        <w:t>vermerken, dass der Nutzer theoretisch (gemäß Berechnung des PPD) nicht zufrieden mit</w:t>
      </w:r>
      <w:r>
        <w:rPr>
          <w:lang w:val="de-AT"/>
        </w:rPr>
        <w:t xml:space="preserve"> </w:t>
      </w:r>
      <w:r w:rsidRPr="006C48BC">
        <w:rPr>
          <w:lang w:val="de-AT"/>
        </w:rPr>
        <w:t>dem thermischen Komfort im Gebäude sein sollte.</w:t>
      </w:r>
    </w:p>
    <w:p w:rsidR="006C48BC" w:rsidRDefault="006C48BC" w:rsidP="006C48BC">
      <w:pPr>
        <w:jc w:val="both"/>
        <w:rPr>
          <w:lang w:val="de-AT"/>
        </w:rPr>
      </w:pPr>
      <w:r w:rsidRPr="006C48BC">
        <w:rPr>
          <w:lang w:val="de-AT"/>
        </w:rPr>
        <w:t>Dies spiegelt jedoch nicht das Votum der Nutzer wieder, die sehr zufrieden mit dem Komfort</w:t>
      </w:r>
      <w:r>
        <w:rPr>
          <w:lang w:val="de-AT"/>
        </w:rPr>
        <w:t xml:space="preserve"> </w:t>
      </w:r>
      <w:r w:rsidRPr="006C48BC">
        <w:rPr>
          <w:lang w:val="de-AT"/>
        </w:rPr>
        <w:t>sind und keine Einschränkungen verspüren.</w:t>
      </w:r>
    </w:p>
    <w:p w:rsidR="006C48BC" w:rsidRDefault="006C48BC" w:rsidP="006C48BC">
      <w:pPr>
        <w:jc w:val="center"/>
        <w:rPr>
          <w:highlight w:val="yellow"/>
          <w:lang w:val="de-AT"/>
        </w:rPr>
      </w:pPr>
      <w:r>
        <w:rPr>
          <w:noProof/>
          <w:lang w:val="de-AT" w:eastAsia="de-AT"/>
        </w:rPr>
        <w:drawing>
          <wp:inline distT="0" distB="0" distL="0" distR="0" wp14:anchorId="4B4168D8" wp14:editId="179FFAFF">
            <wp:extent cx="3498574" cy="3460125"/>
            <wp:effectExtent l="0" t="0" r="6985" b="698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2180" t="16387" r="62328" b="9836"/>
                    <a:stretch/>
                  </pic:blipFill>
                  <pic:spPr bwMode="auto">
                    <a:xfrm>
                      <a:off x="0" y="0"/>
                      <a:ext cx="3505639" cy="3467112"/>
                    </a:xfrm>
                    <a:prstGeom prst="rect">
                      <a:avLst/>
                    </a:prstGeom>
                    <a:ln>
                      <a:noFill/>
                    </a:ln>
                    <a:extLst>
                      <a:ext uri="{53640926-AAD7-44D8-BBD7-CCE9431645EC}">
                        <a14:shadowObscured xmlns:a14="http://schemas.microsoft.com/office/drawing/2010/main"/>
                      </a:ext>
                    </a:extLst>
                  </pic:spPr>
                </pic:pic>
              </a:graphicData>
            </a:graphic>
          </wp:inline>
        </w:drawing>
      </w:r>
    </w:p>
    <w:p w:rsidR="006C48BC" w:rsidRPr="006C48BC" w:rsidRDefault="006C48BC" w:rsidP="006C48BC">
      <w:pPr>
        <w:jc w:val="both"/>
        <w:rPr>
          <w:lang w:val="de-AT"/>
        </w:rPr>
      </w:pPr>
      <w:r w:rsidRPr="006C48BC">
        <w:rPr>
          <w:lang w:val="de-AT"/>
        </w:rPr>
        <w:t>Zusammenfassend kann für den thermischen Raumkomfort in</w:t>
      </w:r>
      <w:r>
        <w:rPr>
          <w:lang w:val="de-AT"/>
        </w:rPr>
        <w:t xml:space="preserve"> der Berghalde festgestellt wer</w:t>
      </w:r>
      <w:r w:rsidRPr="006C48BC">
        <w:rPr>
          <w:lang w:val="de-AT"/>
        </w:rPr>
        <w:t xml:space="preserve">den, dass durch die Umsetzung der Überhitzungsregelung </w:t>
      </w:r>
      <w:r>
        <w:rPr>
          <w:lang w:val="de-AT"/>
        </w:rPr>
        <w:t>zur Steigerung des Eigenstroman</w:t>
      </w:r>
      <w:r w:rsidRPr="006C48BC">
        <w:rPr>
          <w:lang w:val="de-AT"/>
        </w:rPr>
        <w:t>teils keine Einschränkungen im Raumkomfort (operative Raumlufttemperatur) vorhanden sind.</w:t>
      </w:r>
    </w:p>
    <w:p w:rsidR="006C48BC" w:rsidRPr="006C48BC" w:rsidRDefault="006C48BC" w:rsidP="006C48BC">
      <w:pPr>
        <w:jc w:val="both"/>
        <w:rPr>
          <w:lang w:val="de-AT"/>
        </w:rPr>
      </w:pPr>
      <w:r w:rsidRPr="006C48BC">
        <w:rPr>
          <w:lang w:val="de-AT"/>
        </w:rPr>
        <w:t>Die auftretenden Einschränkungen in der Luftfeuchtigkeit rühren nicht aus der Erhöhung der</w:t>
      </w:r>
      <w:r>
        <w:rPr>
          <w:lang w:val="de-AT"/>
        </w:rPr>
        <w:t xml:space="preserve"> </w:t>
      </w:r>
      <w:r w:rsidRPr="006C48BC">
        <w:rPr>
          <w:lang w:val="de-AT"/>
        </w:rPr>
        <w:t>Oberflächentemperatur, sondern sind herkömmliche Probleme</w:t>
      </w:r>
      <w:r>
        <w:rPr>
          <w:lang w:val="de-AT"/>
        </w:rPr>
        <w:t>, die in der Heizperiode auftre</w:t>
      </w:r>
      <w:r w:rsidRPr="006C48BC">
        <w:rPr>
          <w:lang w:val="de-AT"/>
        </w:rPr>
        <w:t>ten und zudem durch nicht befeuchtete Lüftungsanlagen mit WRG verstärkt werden.</w:t>
      </w:r>
    </w:p>
    <w:p w:rsidR="006C48BC" w:rsidRDefault="006C48BC" w:rsidP="006C48BC">
      <w:pPr>
        <w:jc w:val="both"/>
        <w:rPr>
          <w:lang w:val="de-AT"/>
        </w:rPr>
      </w:pPr>
      <w:r w:rsidRPr="006C48BC">
        <w:rPr>
          <w:lang w:val="de-AT"/>
        </w:rPr>
        <w:t>Des Weiteren treten auch keine Einschränkungen durch di</w:t>
      </w:r>
      <w:r>
        <w:rPr>
          <w:lang w:val="de-AT"/>
        </w:rPr>
        <w:t xml:space="preserve">e große Fensterfront nach Süden </w:t>
      </w:r>
      <w:r w:rsidRPr="006C48BC">
        <w:rPr>
          <w:lang w:val="de-AT"/>
        </w:rPr>
        <w:t>auf. Hier kann durch einen automatischen Sonnenschutz</w:t>
      </w:r>
      <w:r>
        <w:rPr>
          <w:lang w:val="de-AT"/>
        </w:rPr>
        <w:t xml:space="preserve"> und die Fußbodenkühlung im Som</w:t>
      </w:r>
      <w:r w:rsidRPr="006C48BC">
        <w:rPr>
          <w:lang w:val="de-AT"/>
        </w:rPr>
        <w:t>mer einer Überhitzung entgegengewirkt werden.</w:t>
      </w:r>
    </w:p>
    <w:p w:rsidR="00441E7C" w:rsidRPr="006C48BC" w:rsidRDefault="00522CB5" w:rsidP="00FB112A">
      <w:pPr>
        <w:pStyle w:val="berschrift5"/>
        <w:rPr>
          <w:lang w:val="en-US"/>
        </w:rPr>
      </w:pPr>
      <w:r w:rsidRPr="006C48BC">
        <w:rPr>
          <w:lang w:val="en-US"/>
        </w:rPr>
        <w:t xml:space="preserve">Energy consumption in buildings and female thermal demand </w:t>
      </w:r>
      <w:r w:rsidRPr="00AF39CD">
        <w:rPr>
          <w:lang w:val="en-US"/>
        </w:rPr>
        <w:fldChar w:fldCharType="begin"/>
      </w:r>
      <w:r w:rsidRPr="006C48BC">
        <w:rPr>
          <w:lang w:val="en-US"/>
        </w:rPr>
        <w:instrText xml:space="preserve"> ADDIN EN.CITE &lt;EndNote&gt;&lt;Cite&gt;&lt;Author&gt;Kingma&lt;/Author&gt;&lt;Year&gt;2015&lt;/Year&gt;&lt;RecNum&gt;11412&lt;/RecNum&gt;&lt;DisplayText&gt;(Kingma and van Marken Lichtenbelt, 2015)&lt;/DisplayText&gt;&lt;record&gt;&lt;rec-number&gt;11412&lt;/rec-number&gt;&lt;foreign-keys&gt;&lt;key app="EN" db-id="zxrx2rspbdeppzeza5fv0e03vdwxr5svazdr" timestamp="1455787351"&gt;11412&lt;/key&gt;&lt;/foreign-keys&gt;&lt;ref-type name="Journal Article"&gt;17&lt;/ref-type&gt;&lt;contributors&gt;&lt;authors&gt;&lt;author&gt;Kingma, Boris&lt;/author&gt;&lt;author&gt;van Marken Lichtenbelt, Wouter&lt;/author&gt;&lt;/authors&gt;&lt;/contributors&gt;&lt;titles&gt;&lt;title&gt;Energy consumption in buildings and female thermal demand&lt;/title&gt;&lt;secondary-title&gt;Nature Clim. Change&lt;/secondary-title&gt;&lt;/titles&gt;&lt;periodical&gt;&lt;full-title&gt;Nature Clim. Change&lt;/full-title&gt;&lt;/periodical&gt;&lt;pages&gt;1054-1056&lt;/pages&gt;&lt;volume&gt;5&lt;/volume&gt;&lt;number&gt;12&lt;/number&gt;&lt;dates&gt;&lt;year&gt;2015&lt;/year&gt;&lt;pub-dates&gt;&lt;date&gt;12//print&lt;/date&gt;&lt;/pub-dates&gt;&lt;/dates&gt;&lt;publisher&gt;Nature Publishing Group&lt;/publisher&gt;&lt;isbn&gt;1758-678X&lt;/isbn&gt;&lt;work-type&gt;Letter&lt;/work-type&gt;&lt;urls&gt;&lt;related-urls&gt;&lt;url&gt;http://dx.doi.org/10.1038/nclimate2741&lt;/url&gt;&lt;/related-urls&gt;&lt;/urls&gt;&lt;electronic-resource-num&gt;10.1038/nclimate2741&amp;#xD;http://www.nature.com/nclimate/journal/v5/n12/abs/nclimate2741.html#supplementary-information&lt;/electronic-resource-num&gt;&lt;/record&gt;&lt;/Cite&gt;&lt;/EndNote&gt;</w:instrText>
      </w:r>
      <w:r w:rsidRPr="00AF39CD">
        <w:rPr>
          <w:lang w:val="en-US"/>
        </w:rPr>
        <w:fldChar w:fldCharType="separate"/>
      </w:r>
      <w:r w:rsidRPr="006C48BC">
        <w:rPr>
          <w:noProof/>
          <w:lang w:val="en-US"/>
        </w:rPr>
        <w:t>(</w:t>
      </w:r>
      <w:hyperlink w:anchor="_ENREF_10" w:tooltip="Kingma, 2015 #11412" w:history="1">
        <w:r w:rsidR="00C64325" w:rsidRPr="006C48BC">
          <w:rPr>
            <w:noProof/>
            <w:lang w:val="en-US"/>
          </w:rPr>
          <w:t>Kingma and van Marken Lichtenbelt, 2015</w:t>
        </w:r>
      </w:hyperlink>
      <w:r w:rsidRPr="006C48BC">
        <w:rPr>
          <w:noProof/>
          <w:lang w:val="en-US"/>
        </w:rPr>
        <w:t>)</w:t>
      </w:r>
      <w:r w:rsidRPr="00AF39CD">
        <w:rPr>
          <w:lang w:val="en-US"/>
        </w:rPr>
        <w:fldChar w:fldCharType="end"/>
      </w:r>
    </w:p>
    <w:p w:rsidR="00522CB5" w:rsidRPr="00522CB5" w:rsidRDefault="00522CB5" w:rsidP="00FB112A">
      <w:pPr>
        <w:jc w:val="center"/>
        <w:rPr>
          <w:b/>
          <w:highlight w:val="yellow"/>
          <w:lang w:val="en-US"/>
        </w:rPr>
      </w:pPr>
      <w:r>
        <w:rPr>
          <w:noProof/>
          <w:lang w:val="de-AT" w:eastAsia="de-AT"/>
        </w:rPr>
        <w:drawing>
          <wp:inline distT="0" distB="0" distL="0" distR="0" wp14:anchorId="6B631D75" wp14:editId="51F8281A">
            <wp:extent cx="3419053" cy="3349989"/>
            <wp:effectExtent l="0" t="0" r="0" b="317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428814" cy="3359553"/>
                    </a:xfrm>
                    <a:prstGeom prst="rect">
                      <a:avLst/>
                    </a:prstGeom>
                  </pic:spPr>
                </pic:pic>
              </a:graphicData>
            </a:graphic>
          </wp:inline>
        </w:drawing>
      </w:r>
    </w:p>
    <w:p w:rsidR="00777F53" w:rsidRDefault="00522CB5" w:rsidP="00777F53">
      <w:pPr>
        <w:rPr>
          <w:b/>
          <w:highlight w:val="yellow"/>
          <w:lang w:val="en-US"/>
        </w:rPr>
      </w:pPr>
      <w:r>
        <w:rPr>
          <w:noProof/>
          <w:lang w:val="de-AT" w:eastAsia="de-AT"/>
        </w:rPr>
        <w:drawing>
          <wp:inline distT="0" distB="0" distL="0" distR="0" wp14:anchorId="7220FAA4" wp14:editId="0B2AA421">
            <wp:extent cx="5760085" cy="7614996"/>
            <wp:effectExtent l="0" t="0" r="0" b="508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60085" cy="7614996"/>
                    </a:xfrm>
                    <a:prstGeom prst="rect">
                      <a:avLst/>
                    </a:prstGeom>
                  </pic:spPr>
                </pic:pic>
              </a:graphicData>
            </a:graphic>
          </wp:inline>
        </w:drawing>
      </w:r>
    </w:p>
    <w:p w:rsidR="00522CB5" w:rsidRPr="00522CB5" w:rsidRDefault="00522CB5" w:rsidP="00FB112A">
      <w:pPr>
        <w:jc w:val="center"/>
        <w:rPr>
          <w:b/>
          <w:highlight w:val="yellow"/>
          <w:lang w:val="en-US"/>
        </w:rPr>
      </w:pPr>
      <w:r>
        <w:rPr>
          <w:noProof/>
          <w:lang w:val="de-AT" w:eastAsia="de-AT"/>
        </w:rPr>
        <w:drawing>
          <wp:inline distT="0" distB="0" distL="0" distR="0" wp14:anchorId="7A61F1E9" wp14:editId="69B3E813">
            <wp:extent cx="3315694" cy="2087202"/>
            <wp:effectExtent l="0" t="0" r="0" b="889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319574" cy="2089645"/>
                    </a:xfrm>
                    <a:prstGeom prst="rect">
                      <a:avLst/>
                    </a:prstGeom>
                  </pic:spPr>
                </pic:pic>
              </a:graphicData>
            </a:graphic>
          </wp:inline>
        </w:drawing>
      </w:r>
    </w:p>
    <w:p w:rsidR="004E7D46" w:rsidRDefault="00207BFF" w:rsidP="007848D9">
      <w:pPr>
        <w:pStyle w:val="berschrift5"/>
      </w:pPr>
      <w:r>
        <w:t xml:space="preserve">DIN EN 15251 </w:t>
      </w:r>
      <w:r w:rsidR="004E7D46">
        <w:t>Eingangsparameter für das Raumklima zur Auslegung und Bewertung der Energieeffizienz von Gebäuden</w:t>
      </w:r>
      <w:r w:rsidR="008757D5">
        <w:t xml:space="preserve"> </w:t>
      </w:r>
      <w:r w:rsidR="008757D5">
        <w:fldChar w:fldCharType="begin"/>
      </w:r>
      <w:r w:rsidR="008757D5">
        <w:instrText xml:space="preserve"> ADDIN EN.CITE &lt;EndNote&gt;&lt;Cite&gt;&lt;Author&gt;EN&lt;/Author&gt;&lt;Year&gt;2007&lt;/Year&gt;&lt;RecNum&gt;247&lt;/RecNum&gt;&lt;DisplayText&gt;(EN, 2007)&lt;/DisplayText&gt;&lt;record&gt;&lt;rec-number&gt;247&lt;/rec-number&gt;&lt;foreign-keys&gt;&lt;key app="EN" db-id="zxrx2rspbdeppzeza5fv0e03vdwxr5svazdr" timestamp="1331399077"&gt;247&lt;/key&gt;&lt;/foreign-keys&gt;&lt;ref-type name="Report"&gt;27&lt;/ref-type&gt;&lt;contributors&gt;&lt;authors&gt;&lt;author&gt;DIN EN&lt;/author&gt;&lt;/authors&gt;&lt;/contributors&gt;&lt;titles&gt;&lt;title&gt;DIN EN 15251 Eingangsparameter für das Raumklima zur Auslegung und Bewertung der Energieeffizienz von Gebäuden - Raumluftqualität, Temperatur, Licht und Akustik&lt;/title&gt;&lt;/titles&gt;&lt;dates&gt;&lt;year&gt;2007&lt;/year&gt;&lt;/dates&gt;&lt;urls&gt;&lt;/urls&gt;&lt;/record&gt;&lt;/Cite&gt;&lt;/EndNote&gt;</w:instrText>
      </w:r>
      <w:r w:rsidR="008757D5">
        <w:fldChar w:fldCharType="separate"/>
      </w:r>
      <w:r w:rsidR="008757D5">
        <w:rPr>
          <w:noProof/>
        </w:rPr>
        <w:t>(</w:t>
      </w:r>
      <w:hyperlink w:anchor="_ENREF_3" w:tooltip="EN, 2007 #247" w:history="1">
        <w:r w:rsidR="00C64325">
          <w:rPr>
            <w:noProof/>
          </w:rPr>
          <w:t>EN, 2007</w:t>
        </w:r>
      </w:hyperlink>
      <w:r w:rsidR="008757D5">
        <w:rPr>
          <w:noProof/>
        </w:rPr>
        <w:t>)</w:t>
      </w:r>
      <w:r w:rsidR="008757D5">
        <w:fldChar w:fldCharType="end"/>
      </w:r>
    </w:p>
    <w:p w:rsidR="004E7D46" w:rsidRDefault="004E7D46" w:rsidP="00207BFF">
      <w:pPr>
        <w:pStyle w:val="berschrift6"/>
      </w:pPr>
      <w:r>
        <w:t>Einleitung</w:t>
      </w:r>
    </w:p>
    <w:p w:rsidR="00AB55C4" w:rsidRDefault="00AB55C4" w:rsidP="00BF0A4A">
      <w:pPr>
        <w:jc w:val="both"/>
      </w:pPr>
      <w:r>
        <w:t xml:space="preserve">Der Energieverbrauch von Gebäuden hängt in erheblichem Maße von den für das Innenraumklima (Temperatur, Lüftung und Beleuchtung) und dem Entwurf und Betrieb des Gebäudes (einschließlich seiner Systeme) geltenden Kriterien ab. Das Innenraumklima beeinflusst auch Gesundheit, Produktivität und Behaglichkeit der Nutzer. Neuere Studien haben gezeigt, dass die Kosten für die Behebung von Problemen im Zusammenhang mit schlechtem Innenraumklima für den Arbeitgeber, den Gebäudeeigentümer und die Gesellschaft oft höher sind als die Energiekosten der betreffenden Gebäude. Es wurde auch nachgewiesen, dass eine geeignete Qualität des Innenraumklimas die Gesamtleistung beim Arbeiten und Lernen verbessern und Fehltage verringern kann. Darüber hinaus neigen Personen in einem unbehaglichen Umgebungsklima dazu, Abhilfemaßnahmen zu treffen, die sich auf den Energieverbrauch auswirken können. Eine Energiedeklaration ist ohne eine Deklaration zum Innenraumklima sinnlos. Es besteht also die Notwendigkeit, Kriterien für das Innenraumklima festzulegen, die bei Auslegung und bei Energieberechnungen sowie bei Leistungsfähigkeit und Betrieb anzuwenden sind. </w:t>
      </w:r>
    </w:p>
    <w:p w:rsidR="00AB55C4" w:rsidRDefault="00AB55C4" w:rsidP="00BF0A4A">
      <w:pPr>
        <w:jc w:val="both"/>
      </w:pPr>
      <w:r>
        <w:t>Es existieren nationale und internationale Normen und technische Berichte, die Kriterien für die thermische Behaglichkeit und die Raumluftqualität festlegen (7730, CR 1752). Diese Dokumente legen verschiedene Typen und Kategorien für Kriterien fest, die einen erheblichen Einfluss auf den Energiebedarf haben können. Für das thermische Raumklima sind darin Kriterien für die Heizperiode (kalte Jahreszeit/Winter) und die Kühlperiode (warme Jahreszeit/Sommer) aufgeführt. Diese Kriterien dienen jedoch hauptsächlich zur Dimensionierung von Gebäude-, Heizungs-, Kühl- und Lüftungsanlagen. Sie können nicht direkt für eine Ganzjahresbewertung des thermischen Innenraumklimas verwendet werden. Neuere Ergebnisse haben gezeigt, dass sich die Erwartungen, die die Nutzer an natürliche be- und entlüftete Gebäude stellen, von denen, die sie an klimatische Gebäude stellen, unterscheiden können. Darauf wird in den oben genannten Dokumenten nicht näher eingegangen.</w:t>
      </w:r>
    </w:p>
    <w:p w:rsidR="00AB55C4" w:rsidRDefault="00AB55C4" w:rsidP="00BF0A4A">
      <w:pPr>
        <w:jc w:val="both"/>
      </w:pPr>
      <w:r>
        <w:t>Die vorliegende Norm legt fest, wie Auslegungskriterien für die Anlagendimensionierung erstellt und verwendet werden können. Darüber hinaus legt sie die Hauptparameter fest, die als Eingangswerte für die Gebäudeenergieberechnung und die Langzeitbewertung des Innenraumklimas verwendet werden. Schließlich benennt diese Norm Parameter, die zur Überwachung des Innenraumklimas entsprechend der Energieeffizienzrichtlinie zu verwenden sind.</w:t>
      </w:r>
    </w:p>
    <w:p w:rsidR="00AB55C4" w:rsidRPr="00AB55C4" w:rsidRDefault="00AB55C4" w:rsidP="00BF0A4A">
      <w:pPr>
        <w:jc w:val="both"/>
      </w:pPr>
      <w:r>
        <w:t xml:space="preserve">Je nach Gebäudetyp, den sich im Raum aufhaltenden Personen, Klima und nationalen Unterschieden können unterschiedliche Kategorien  für Kriterien angewendet werden. Diese Norm legt mehrere unterschiedliche Kategorien des Innenraumklimas fest, die für einen zu konditionierenden Raum ausgewählt werden können. Diese Kategorien können auch verwendet werden, um eine jährliche Gesamtbeurteilung des Innenraumklimas über den prozentualen zeitlichen Anteil in jeder Kategorie zu geben. Unter Beachtung </w:t>
      </w:r>
      <w:r w:rsidR="0008676D">
        <w:t>der Grundsätze dieser Norm kann der Planer auch andere Kategorien wählen.</w:t>
      </w:r>
      <w:r>
        <w:t xml:space="preserve"> </w:t>
      </w:r>
    </w:p>
    <w:p w:rsidR="004E7D46" w:rsidRDefault="004E7D46" w:rsidP="00207BFF">
      <w:pPr>
        <w:pStyle w:val="berschrift6"/>
      </w:pPr>
      <w:r>
        <w:t>Anwendungsbereich</w:t>
      </w:r>
    </w:p>
    <w:p w:rsidR="00CF3E31" w:rsidRDefault="00CF3E31" w:rsidP="00CF3E31">
      <w:pPr>
        <w:pStyle w:val="Aufzhlung"/>
        <w:numPr>
          <w:ilvl w:val="0"/>
          <w:numId w:val="17"/>
        </w:numPr>
      </w:pPr>
      <w:r>
        <w:t>Die Norm legt Verfahren für die Langzeitbewertung des resultierenden Innenraumklimas aus Berechnungen und Messungen fest.</w:t>
      </w:r>
    </w:p>
    <w:p w:rsidR="00CF3E31" w:rsidRDefault="00CF3E31" w:rsidP="00CF3E31">
      <w:pPr>
        <w:pStyle w:val="Aufzhlung"/>
        <w:numPr>
          <w:ilvl w:val="0"/>
          <w:numId w:val="17"/>
        </w:numPr>
      </w:pPr>
      <w:r>
        <w:t>Diese Norm gilt in erster Linie für nicht industrielle Gebäude, bei denen die Kriterien für das Innenraumklima durch die menschliche Nutzung bestimmt werden und bei denen die darin stattfindenden Produktions- oder sonstigen Prozesse keine größeren Auswirkungen auf das Innenraumklima haben. Diese Norm ist daher auf die folgenden Gebäudearten anwendbar: Einfamilienhäuser, Wohnhäuser, Bürogebäude, Schul- und Hochschulgebäude, Krankenhäuser, Hotels und Restaurants, Sporteinrichtungen, Großhandels- und Einzelhandelsgebäude.</w:t>
      </w:r>
    </w:p>
    <w:p w:rsidR="00CF3E31" w:rsidRDefault="00CF3E31" w:rsidP="00CF3E31">
      <w:pPr>
        <w:pStyle w:val="Aufzhlung"/>
        <w:numPr>
          <w:ilvl w:val="0"/>
          <w:numId w:val="17"/>
        </w:numPr>
      </w:pPr>
      <w:r>
        <w:t xml:space="preserve">Die Norm legt fest, wie verschiedene Kategorien des Innenraumklimas verwendet werden können. </w:t>
      </w:r>
    </w:p>
    <w:p w:rsidR="00CF3E31" w:rsidRDefault="00CF3E31" w:rsidP="00CF3E31">
      <w:pPr>
        <w:pStyle w:val="Aufzhlung"/>
        <w:numPr>
          <w:ilvl w:val="0"/>
          <w:numId w:val="17"/>
        </w:numPr>
      </w:pPr>
      <w:r>
        <w:t>Die Norm schreibt keine Auslegungsverfahren vor, gibt jedoch Eingangsparameter für die Auslegung von Gebäuden-, Heizungs-, Kühl-, Lüftungs- und Beleuchtungsanlagen an;</w:t>
      </w:r>
    </w:p>
    <w:p w:rsidR="00CF3E31" w:rsidRDefault="00CF3E31" w:rsidP="00CF3E31">
      <w:pPr>
        <w:pStyle w:val="Aufzhlung"/>
        <w:numPr>
          <w:ilvl w:val="0"/>
          <w:numId w:val="17"/>
        </w:numPr>
      </w:pPr>
      <w:r>
        <w:t>Die Norm enthält keine Kriterien für lokale Unbehaglichkeitsfaktoren wie Zugluft, Asymmetrie der Strahlungstemperatur, vertikale Lufttemperaturunterschiede und Fußbodenoberflächentemperaturen.</w:t>
      </w:r>
    </w:p>
    <w:p w:rsidR="00CF3E31" w:rsidRDefault="00CF3E31" w:rsidP="00BF0A4A">
      <w:pPr>
        <w:jc w:val="both"/>
      </w:pPr>
      <w:r>
        <w:t xml:space="preserve">Für jede Kategorie sind die empfohlenen Eingangswerte angegeben. Eine kurze Beschreibung der Kategorien ist in </w:t>
      </w:r>
      <w:r>
        <w:fldChar w:fldCharType="begin"/>
      </w:r>
      <w:r>
        <w:instrText xml:space="preserve"> REF _Ref442884217 \h </w:instrText>
      </w:r>
      <w:r>
        <w:fldChar w:fldCharType="separate"/>
      </w:r>
      <w:r w:rsidR="00C10B8B">
        <w:t xml:space="preserve">Tabelle </w:t>
      </w:r>
      <w:r w:rsidR="00C10B8B">
        <w:rPr>
          <w:noProof/>
        </w:rPr>
        <w:t>8</w:t>
      </w:r>
      <w:r>
        <w:fldChar w:fldCharType="end"/>
      </w:r>
      <w:r>
        <w:t xml:space="preserve"> enthalten. </w:t>
      </w:r>
    </w:p>
    <w:p w:rsidR="00CF3E31" w:rsidRDefault="00CF3E31" w:rsidP="00CF3E31">
      <w:pPr>
        <w:pStyle w:val="Beschriftung"/>
        <w:keepNext/>
      </w:pPr>
      <w:bookmarkStart w:id="10" w:name="_Ref442884217"/>
      <w:r>
        <w:t xml:space="preserve">Tabelle </w:t>
      </w:r>
      <w:r w:rsidR="0057391F">
        <w:fldChar w:fldCharType="begin"/>
      </w:r>
      <w:r w:rsidR="0057391F">
        <w:instrText xml:space="preserve"> SEQ Tabelle \* ARABIC </w:instrText>
      </w:r>
      <w:r w:rsidR="0057391F">
        <w:fldChar w:fldCharType="separate"/>
      </w:r>
      <w:r w:rsidR="00C10B8B">
        <w:rPr>
          <w:noProof/>
        </w:rPr>
        <w:t>8</w:t>
      </w:r>
      <w:r w:rsidR="0057391F">
        <w:rPr>
          <w:noProof/>
        </w:rPr>
        <w:fldChar w:fldCharType="end"/>
      </w:r>
      <w:bookmarkEnd w:id="10"/>
      <w:r>
        <w:t>: Beschreibung der Anwendbarkeit der verwendeten Kategorien (Tabelle 1, 15251)</w:t>
      </w:r>
    </w:p>
    <w:p w:rsidR="00CF3E31" w:rsidRPr="00CF3E31" w:rsidRDefault="00CF3E31" w:rsidP="00CF3E31">
      <w:r>
        <w:rPr>
          <w:noProof/>
          <w:lang w:val="de-AT" w:eastAsia="de-AT"/>
        </w:rPr>
        <w:drawing>
          <wp:inline distT="0" distB="0" distL="0" distR="0" wp14:anchorId="649640D9" wp14:editId="4DA81F0F">
            <wp:extent cx="5760085" cy="2064347"/>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60085" cy="2064347"/>
                    </a:xfrm>
                    <a:prstGeom prst="rect">
                      <a:avLst/>
                    </a:prstGeom>
                  </pic:spPr>
                </pic:pic>
              </a:graphicData>
            </a:graphic>
          </wp:inline>
        </w:drawing>
      </w:r>
    </w:p>
    <w:p w:rsidR="004E7D46" w:rsidRDefault="0078443B" w:rsidP="00207BFF">
      <w:pPr>
        <w:pStyle w:val="berschrift6"/>
      </w:pPr>
      <w:r>
        <w:t xml:space="preserve">6 </w:t>
      </w:r>
      <w:r w:rsidR="004E7D46">
        <w:t>Auslegungskriterien für die Dimensionierung von Gebäuden, Heizungs- und Kühlanlagen, maschinellen und freien Lüftungsanlagen</w:t>
      </w:r>
    </w:p>
    <w:p w:rsidR="00CF3E31" w:rsidRDefault="0078443B" w:rsidP="00207BFF">
      <w:pPr>
        <w:pStyle w:val="berschrift7"/>
      </w:pPr>
      <w:r>
        <w:t xml:space="preserve">6.1 </w:t>
      </w:r>
      <w:r w:rsidR="00CF3E31">
        <w:t>Allgemeines</w:t>
      </w:r>
    </w:p>
    <w:p w:rsidR="00CF3E31" w:rsidRDefault="00CF3E31" w:rsidP="00BF0A4A">
      <w:pPr>
        <w:jc w:val="both"/>
      </w:pPr>
      <w:r>
        <w:t xml:space="preserve">Bei der Auslegung von Gebäuden und bei der Dimensionierung von Raumkonditionierungssystemen sind die thermischen Behaglichkeitskriterien (Innenraum-Minimaltemperatur im Winter, Innenraum-Maximaltemperatur im Sommer) als Eingangswerte für die Berechnungen der Heizlast (EN 12831) und der Kühllast (prEN 15255) zu verwenden. Dadurch wird sichergestellt, dass bei den dem Entwurf zugrunde gelegten Außen- und Innenraumnutzungs-Bedingungen bestimmte Maximal- bzw. Minimaltemperaturen eingehalten werden können. Im Entwurf müssen Lüftungsraten festgelegt werden, die für die Bemessung </w:t>
      </w:r>
      <w:r w:rsidR="0078443B">
        <w:t xml:space="preserve">der Ausrüstung zu verwenden sind (EN 15241, EN 15242). Dieser Abschnitt gibt Eingangswerte für die Bemessung und </w:t>
      </w:r>
      <w:r>
        <w:t>Dimensionierung der Anlagen sowie für die Auslegung von Gebäuden ohne mechanische Kühl</w:t>
      </w:r>
      <w:r w:rsidR="0078443B">
        <w:t>ung an.</w:t>
      </w:r>
    </w:p>
    <w:p w:rsidR="0078443B" w:rsidRDefault="0078443B" w:rsidP="00BF0A4A">
      <w:pPr>
        <w:jc w:val="both"/>
      </w:pPr>
      <w:r>
        <w:t xml:space="preserve">Bei der Auslegung und Dimensionierung der Anlagen müssen die in nationalen Bauvorschriften festgelegten Kriterien angewendet werden. Die vorliegende Norm enthält jedoch in informativen Anhängen empfohlene Eingangswerte für den Fall, dass keine nationalen Vorschriften vorliegen. Die empfohlenen Kriterien sind für drei Kategorien angegeben. Die Auslegungskriterien für das Innenraumklima sind vom Planer zu dokumentieren. </w:t>
      </w:r>
    </w:p>
    <w:p w:rsidR="0078443B" w:rsidRDefault="0078443B" w:rsidP="00207BFF">
      <w:pPr>
        <w:pStyle w:val="berschrift7"/>
      </w:pPr>
      <w:r>
        <w:t>6.2 Thermisches Raumklima</w:t>
      </w:r>
    </w:p>
    <w:p w:rsidR="0078443B" w:rsidRDefault="0078443B" w:rsidP="00207BFF">
      <w:pPr>
        <w:pStyle w:val="berschrift8"/>
      </w:pPr>
      <w:r>
        <w:t>6.2.1 Maschinell beheizte und/oder gekühlte Gebäude</w:t>
      </w:r>
    </w:p>
    <w:p w:rsidR="0078443B" w:rsidRDefault="0078443B" w:rsidP="00BF0A4A">
      <w:pPr>
        <w:jc w:val="both"/>
      </w:pPr>
      <w:r>
        <w:t>Die Auslegungswerte der Innentemperatur für Heiz- und Kühllastberechnungen sind auf nationaler Ebene festzulegen.</w:t>
      </w:r>
    </w:p>
    <w:p w:rsidR="0078443B" w:rsidRDefault="0078443B" w:rsidP="00BF0A4A">
      <w:pPr>
        <w:jc w:val="both"/>
      </w:pPr>
      <w:r>
        <w:t>Für die Festlegung von Auslegungskriterien wird das folgende Verfahren empfohlen.</w:t>
      </w:r>
    </w:p>
    <w:p w:rsidR="0078443B" w:rsidRDefault="0078443B" w:rsidP="00BF0A4A">
      <w:pPr>
        <w:jc w:val="both"/>
      </w:pPr>
      <w:r>
        <w:t>Die Kriterien für das thermische Raumklima müssen unter Berücksichtigung typischer Aktivitätsniveaus und typischer Wärmedämmwerte der (Winter- und Sommer-)Bekleidung, wi in EN ISO 7730 ausführlich beschrieben, auf Indizes der thermischen Behaglichkeit [dem vorausgesagten Prozentsatz Unzufriedener (en.: Predictet Percentage of Dissatisfied, PPD)] beruhen. Beruhend auf den gewählten Kriterien (Behaglichkeitskategorie) wird ein entsprechendes Temperaturintervall festgelegt. Die Werte für die Dimensionierung von Kühlanlagen sind die oberen Werte des Behaglichkeitsbereichs, und die Werte für die Dimensionierung von Heizungsanlagen sind die unteren Werte des Behaglichkeitsbereichs. In Anhang A (informativ), Tabelle A.2, sind einige Beispiele für nach diesem Grundsatz abgeleitete operative Auslegungsinnentemperaturen angeben, die für Heizung und Kühlung empfohlen werden.</w:t>
      </w:r>
    </w:p>
    <w:p w:rsidR="0078443B" w:rsidRDefault="0078443B" w:rsidP="00BF0A4A">
      <w:pPr>
        <w:jc w:val="both"/>
      </w:pPr>
      <w:r>
        <w:t>Die Auslegungswerte für die Bemessung der technischen Gebäudeausrüstung werden benötigt, um die in Artikel 4 der EPBD festgelegten Anforderungen, die sich auf mögliche negative Auswirkungen auf das Innenraumklima beziehen, zu erfüllen und um Hinweise zur Verbesserung sowohl der Energieeffizienz bestehender Gebäude (Artikel 6) als auch der Gebäudeheizung (Artikel 8) und –kühlung (Artikel 9) zu geben. Die in diesem Abschnitt genannten Ausleungskriterien gelten sowohl für die Auslegung von Gebäuden (Fenster, Sonnenlichtabschirmung, Gebäudemasse usw.) als auch für HLK-Anlagen (Heizung/Lüftung/Klimatisierung).</w:t>
      </w:r>
    </w:p>
    <w:p w:rsidR="0078443B" w:rsidRDefault="0078443B" w:rsidP="00BF0A4A">
      <w:pPr>
        <w:jc w:val="both"/>
      </w:pPr>
      <w:r>
        <w:t>Als Auslegungskriterium kann anstelle der Temperatur auch direkt der PMV-PPD-Index verwendet werden. Auf diese Weise wird die Auswirkung einer erhöhten Luftgeschwindigkeit mit berücksichtigt.</w:t>
      </w:r>
    </w:p>
    <w:p w:rsidR="0078443B" w:rsidRDefault="00E7124F" w:rsidP="00BF0A4A">
      <w:pPr>
        <w:jc w:val="both"/>
      </w:pPr>
      <w:r>
        <w:t>Die Auswahl der Kategorie ist gebäudespezifisch, und es sind die Bedürfnisse spezieller Nutzergruppen wie z.B. älterer Menschen (niedrige Stoffwechselrate und beeinträchtigte Thermoregulation) zu berücksichtigen (ISO/TS 14415). Für diese Personengruppen wird Kategorie I empfohlen.</w:t>
      </w:r>
    </w:p>
    <w:p w:rsidR="00E7124F" w:rsidRDefault="00E7124F" w:rsidP="00BF0A4A">
      <w:pPr>
        <w:jc w:val="both"/>
      </w:pPr>
      <w:r>
        <w:t>Bei Gebäuden und Räumen, bei denen die maschinelle Kühlleistung nicht ausreicht, um die geforderten Temperaturkategorien einzuhalten, muss unter Anwendung eines der in Anhang F angegebenen Verfahren in den Auslegungsunterlagen angegeben werden, wie häufig die Bedingungen außerhalb des geforderten Bereichs liegen.</w:t>
      </w:r>
    </w:p>
    <w:p w:rsidR="00E7124F" w:rsidRDefault="00E7124F" w:rsidP="00207BFF">
      <w:pPr>
        <w:pStyle w:val="berschrift8"/>
      </w:pPr>
      <w:r>
        <w:t>6.2.2 Gebäude ohne maschinelle Kühlung</w:t>
      </w:r>
    </w:p>
    <w:p w:rsidR="00E7124F" w:rsidRDefault="00A77DEE" w:rsidP="00BF0A4A">
      <w:pPr>
        <w:jc w:val="both"/>
      </w:pPr>
      <w:r>
        <w:t>Bei der Dimensionierung der Heizungsanlage sind die gleichen Kriterien wie für maschinell be- und entlüftete und beheizte Gebäude (6.2.1) anzuwenden.</w:t>
      </w:r>
    </w:p>
    <w:p w:rsidR="00A77DEE" w:rsidRDefault="00A77DEE" w:rsidP="00BF0A4A">
      <w:pPr>
        <w:jc w:val="both"/>
      </w:pPr>
      <w:r>
        <w:t xml:space="preserve">Die Kriterien für das thermische Raumklima in Gebäuden ohne maschinelle Kühlung können aufgrund der unterschiedlichen Erwartungen der Gebäudenutzer und der entsprechenden Anpassung an wärmere Bedingungen unter Anwendung des in 6.2.1 angegebenen Verfahrens oder anders festgelegt werden als die Kriterien für Gebäude, die während der warmen Jahreszeit maschinell gekühlt werden. Das Anpassungs- und Erwartungsniveau hängt in hohem Maße von den äußeren klimatischen Bedingungen ab. </w:t>
      </w:r>
    </w:p>
    <w:p w:rsidR="00A77DEE" w:rsidRDefault="00A77DEE" w:rsidP="00BF0A4A">
      <w:pPr>
        <w:jc w:val="both"/>
      </w:pPr>
      <w:r>
        <w:t>Bei den meisten Gebäuden mit freier Lüftung erfolgt diese im Sommern ungesteuert, es ist also keine maschinelle Kühlanlage zu dimensionieren, und die Kriterien für die Kategorien beruhen auf der Innenraumtemperatur. Die Sommertemperaturen werden im Wesentlichen zur Auslegung von passiven thermischen Regeleinrichtungen (z.B. Sonnenlichtabschirmung, thermische Kapazität des Gebäudes, Auslegung, Ausrichtung und Öffnung von Fenstern usw.) verwendet, um ein Überhitzen des Gebäudes zu verhindern.</w:t>
      </w:r>
    </w:p>
    <w:p w:rsidR="00A77DEE" w:rsidRDefault="00A77DEE" w:rsidP="004E7D46">
      <w:r>
        <w:t>In Anhang A.2 sind auf einer gleitenden mittleren Außentemperatur beruhende empfohlene Kriterien für die Innentemperatur angegeben.</w:t>
      </w:r>
    </w:p>
    <w:p w:rsidR="00A77DEE" w:rsidRDefault="00A77DEE" w:rsidP="00BF0A4A">
      <w:pPr>
        <w:jc w:val="both"/>
      </w:pPr>
      <w:r>
        <w:t>Im Falle von Gebäuden und Räumen, bei denen die Gebäudeauslegung und die freie Lüftung nicht ausreicht, um den geforderten Temperaturkategorien zu entsprechen, muss in Auslegungsunterlagen mit Hilfe eines der in Anhang F angegebenen Verfahren festgelegt werden, wie häufig die Bedingungen außerhalb des geforderten Bereichs liegen.</w:t>
      </w:r>
    </w:p>
    <w:p w:rsidR="00A77DEE" w:rsidRDefault="00A77DEE" w:rsidP="00207BFF">
      <w:pPr>
        <w:pStyle w:val="berschrift7"/>
      </w:pPr>
      <w:r>
        <w:t>6.2.3 Lokale thermische Unbehaglichkeit</w:t>
      </w:r>
    </w:p>
    <w:p w:rsidR="00A77DEE" w:rsidRDefault="00A77DEE" w:rsidP="00BF0A4A">
      <w:pPr>
        <w:jc w:val="both"/>
      </w:pPr>
      <w:r>
        <w:t>Kriterien für eine lokale thermische Unbehaglichkeit wie zum Beispiel Zugluft, Asymmetrie der Strahlungstemperatur, vertikale Temperaturunterschiede und Fußbodenoberflächentemperaturen sind bei der Auslegung von Gebäuden und KLK-Anlagen ebenfalls zu berücksichtigen. Diese Kriterien sind in der vorliegenden Norm nicht enthalten, können jedoch EN ISO 7730 oder nationalen Vorschriften entnommen werden.</w:t>
      </w:r>
    </w:p>
    <w:p w:rsidR="00A77DEE" w:rsidRDefault="006217D6" w:rsidP="00207BFF">
      <w:pPr>
        <w:pStyle w:val="berschrift7"/>
      </w:pPr>
      <w:r>
        <w:t>6.4 Luftfeuchte</w:t>
      </w:r>
    </w:p>
    <w:p w:rsidR="006217D6" w:rsidRDefault="006217D6" w:rsidP="00BF0A4A">
      <w:pPr>
        <w:jc w:val="both"/>
      </w:pPr>
      <w:r>
        <w:t>Üblicherweise brauch die Raumluft nicht befeuchtet zu werden. Die Luftfeuchte hat nur geringe Auswirkung auf die Temperaturempfindung und die Wahrnehmung der Luftqualität in Räumen mit sitzenden Tätigkeiten, jedoch verursacht lang andauernde hohe Raumluftfeuchte mikrobielles Wachstum, während sehr niedrige Luftfeucht (&lt; 15 % bis 20 % ) Trockenheit und Reizungen der Augen und Luftwege verursacht. Sie Anforderungen an die Luftfeuchte beeinflussen die Auslegung von Entfeuchtungs- (Kühllast) und Befeuchtungsanlagen und den Energieverbrauch. Die Kriterien hängen teils von den Anforderungen an die thermische Behaglichkeit und die Raumluftqualität und teils von den bauphysikalischen Anforderungen (Kondensation, Schimmelpilzbefall usw.) ab. Bei bestimmten Gebäuden (Museen, historische Gebäude, Kirschen) müssen zusätzlich Anforderungen an die Luftfeuchte berücksichtigt werden. Üb</w:t>
      </w:r>
      <w:r w:rsidR="00236310">
        <w:t>l</w:t>
      </w:r>
      <w:r>
        <w:t>icherweise ist keine Befeuchtung oder Entfeuchtung der Raumluft erforderlich; werden jedoch Befeuchtungs- und/oder Entfeuchtungsanlagen eingesetzt, so sollte eine übermäßige Befeuchtung und Entfeuchtung vermieden werden.</w:t>
      </w:r>
    </w:p>
    <w:p w:rsidR="006217D6" w:rsidRDefault="006217D6" w:rsidP="004E7D46">
      <w:r>
        <w:t>Empfohlene Auslegungswerte der Raumluftfeuchte in von Personen genutzten Räumen für die Dimensionierung von Befeuchtungs- und Entfeuchtungsanlagen sind in B.3 angegeben.</w:t>
      </w:r>
    </w:p>
    <w:p w:rsidR="00207BFF" w:rsidRDefault="00207BFF" w:rsidP="00207BFF">
      <w:pPr>
        <w:pStyle w:val="berschrift6"/>
      </w:pPr>
      <w:r>
        <w:t>7</w:t>
      </w:r>
      <w:r w:rsidRPr="00207BFF">
        <w:t>. Innenraumklimaparameter für die Energieberechnung</w:t>
      </w:r>
    </w:p>
    <w:p w:rsidR="006217D6" w:rsidRDefault="006217D6" w:rsidP="00207BFF">
      <w:pPr>
        <w:pStyle w:val="berschrift7"/>
      </w:pPr>
      <w:r>
        <w:t>7.3 Raumluftqualität und Lüftung</w:t>
      </w:r>
    </w:p>
    <w:p w:rsidR="006217D6" w:rsidRDefault="006217D6" w:rsidP="00207BFF">
      <w:pPr>
        <w:pStyle w:val="berschrift8"/>
      </w:pPr>
      <w:r>
        <w:t>7.3.1 Nichtwohngebäude</w:t>
      </w:r>
    </w:p>
    <w:p w:rsidR="005B6173" w:rsidRDefault="006217D6" w:rsidP="006F1524">
      <w:pPr>
        <w:jc w:val="both"/>
      </w:pPr>
      <w:r>
        <w:t>Während der Betriebsstunden müssen die Luftvolumenströme für die Energieb</w:t>
      </w:r>
      <w:r w:rsidR="005B6173">
        <w:t>erechnung die gleichen sein wie die in Abschnitt 6 für Lastberechnungen und die Dimensionierung der Lüftungsanlage festgelegten. Um sicherzustellen, dass bei Beginn der Nutzung eine gute Raumluftqualität gegeben ist, muss mit dem Betrieb der Lüftung bereits vor der Nutzung begonnen werden, bzw. muss während der Nichtnutzungszeit eine Mindestlüftungsrate eingehalten werden. Sind hierzu keine nationalen Vorschriften vorhanden, sollten die Empfehlungen aus B.4 angewendet werden.</w:t>
      </w:r>
    </w:p>
    <w:p w:rsidR="005B6173" w:rsidRDefault="005B6173" w:rsidP="006F1524">
      <w:pPr>
        <w:jc w:val="both"/>
      </w:pPr>
      <w:r>
        <w:t>Bei Anlagen mit variablem Luftvolumenstrom und bei bedarfsgeregelter Lüftung kann die Lüftungsrate zwischen einem Höchstwert für volle Belegung bzw. maximale Nutzung und einem Mindestwert für Nichtbelegung schwanken. Im Falle CO2-geregelter Lüftung sollte die CO2-Konzentration die Auslegungswerte nicht überschreiten. In Tabelle B.4 sind empfohlene Werte für die maximale CO2-Konzentration über der CO2-Konzentration der Außenluft aufgeführt. Die in EN 13799 angegeben Werte der Stofflasten können bei der Auslegung der bedarfsgeregelten Lüftung verwendet werden.</w:t>
      </w:r>
    </w:p>
    <w:p w:rsidR="005B6173" w:rsidRDefault="005B6173" w:rsidP="00207BFF">
      <w:pPr>
        <w:pStyle w:val="berschrift8"/>
      </w:pPr>
      <w:r>
        <w:t>7.3.2 Maschinelle Lüftung</w:t>
      </w:r>
    </w:p>
    <w:p w:rsidR="005B6173" w:rsidRDefault="005B6173" w:rsidP="006F1524">
      <w:pPr>
        <w:jc w:val="both"/>
      </w:pPr>
      <w:r>
        <w:t>In Wohngebäuden ist die Mindestlüftungsrate, die bei der Auslegung festgelegt wird, während der Belegungs- bzw. Nutzungszeit üblicherweise konstant.</w:t>
      </w:r>
    </w:p>
    <w:p w:rsidR="006217D6" w:rsidRDefault="005B6173" w:rsidP="006F1524">
      <w:pPr>
        <w:jc w:val="both"/>
      </w:pPr>
      <w:r>
        <w:t>Wohngebäude sollten auch während der Zeiten, in denen sie nicht belegt sind, be- und entlüftet werden, wobei eine niedrigere Lüftungsrate anzuwenden ist als während der Belegung. Diese Mindestlüftungsrate muss unter Zugrundelegung der Stofflast der betreffenden Räume festgelegt werden. Für den Fall, dass keine nationalen Vorschriften zur Verfügung stehen, wird empfohlen, die in B.4 angegebenen Werte zu verwenden.</w:t>
      </w:r>
    </w:p>
    <w:p w:rsidR="005B6173" w:rsidRDefault="005B6173" w:rsidP="006F1524">
      <w:pPr>
        <w:jc w:val="both"/>
      </w:pPr>
      <w:r>
        <w:t>Bei Analgen mit bedarfsgeregeltem Luftvolumenstrom, der nach beliebigen Kriterien geregelt wird, die den Bedarf (gegebenenfalls die Zeit oder die Belegung bzw. Nutzung) repräsentieren, kann die Lüftungsragte in Abhängigkeit der Belegung bzw. der Nutzung und der Stofflast, wie z.B. der Auffeuchtung, zwischen einem Höchst- und einem Mindestwert schwanken. Bedarfsgeregelte oder nach Belegung bzw. Nutzung gesteuerte Anlagen müssen die gewählten Kriterien erfüllen. Regeln und Kriterien für dieses Verhältnis müssen den nationalen Vorschriften entsprechen und auf nationaler Ebene festgelegt werden.</w:t>
      </w:r>
    </w:p>
    <w:p w:rsidR="005B6173" w:rsidRDefault="005B6173" w:rsidP="006F1524">
      <w:pPr>
        <w:jc w:val="both"/>
      </w:pPr>
      <w:r>
        <w:t>Da volumenstromregelbare Anlagen im zeitlichen Verlauf Schwankungen aufweisen können, dürfen auf nationaler Ebene Äquivalenzregeln (Gleichzeitigkeit im Hinblick auf einen kontinuierlichen Luftstrom) für Kriterien der Raumluftqualität gewählt werden, um diese Schwankungen zu berücksichtigen.</w:t>
      </w:r>
    </w:p>
    <w:p w:rsidR="005B6173" w:rsidRDefault="005B6173" w:rsidP="00207BFF">
      <w:pPr>
        <w:pStyle w:val="berschrift8"/>
      </w:pPr>
      <w:r>
        <w:t>7.3.2.2 Freie Lüftung</w:t>
      </w:r>
    </w:p>
    <w:p w:rsidR="004473B1" w:rsidRDefault="005B6173" w:rsidP="006F1524">
      <w:pPr>
        <w:jc w:val="both"/>
      </w:pPr>
      <w:r>
        <w:t>Die Lüftungsraten für frei be- und entlüftete Gebäude werden unter Zugrundelegung der Baukonstruktion, des Standortes und der Witterungsbedingungen nach EN 15242 berechnet. Die Mindestlüftungsrate ist bei der Auslegung (Abschnitt 6) festzulegen und wird für Energieberechnungen während der Belegungszeit verwendet. Wie bei volumenstromregelbaren Anlagen kann auch eine freie Lüftung, die die Kaminwirkung nutzt, im zeitlichen Verlauf Luftstromschwankungen aufweisen; entsprech</w:t>
      </w:r>
      <w:r w:rsidR="00B9658F">
        <w:t>end</w:t>
      </w:r>
      <w:r w:rsidR="004473B1">
        <w:t xml:space="preserve"> Äquivalenzregeln (die dies berücksichtigen) der Raumluftqualitätskriterien können auf nationaler Ebene gewählt werden. </w:t>
      </w:r>
    </w:p>
    <w:p w:rsidR="004473B1" w:rsidRDefault="004473B1" w:rsidP="006F1524">
      <w:pPr>
        <w:jc w:val="both"/>
      </w:pPr>
      <w:r>
        <w:t>Für die Zeiten, in denen das Gebäude nicht genutzt wird, sollte eine Mindestlüftung bereitgestellt werden. Falls keine nationalen Vorschriften oder bautechnischen Richtlinien zur Verfügung stehen, dürfen die in B.4 angegebenen Werte verwendet werden. Nationale bautechnische Richtlinien können eine zusätzliche Lüftung durch Fensterlüftung gestatten, um diese Anforderungen in der milden Jahreszeit zu erfüllen, falls die geltenden akustischen Anforderungen dabei erfüllt werden.</w:t>
      </w:r>
    </w:p>
    <w:p w:rsidR="00FD0A05" w:rsidRDefault="004473B1" w:rsidP="00207BFF">
      <w:pPr>
        <w:pStyle w:val="berschrift7"/>
      </w:pPr>
      <w:r>
        <w:t>7</w:t>
      </w:r>
      <w:r w:rsidR="00FD0A05">
        <w:t>.4 Luftfeuchte</w:t>
      </w:r>
    </w:p>
    <w:p w:rsidR="00FD0A05" w:rsidRDefault="00FD0A05" w:rsidP="006F1524">
      <w:pPr>
        <w:jc w:val="both"/>
      </w:pPr>
      <w:r>
        <w:t>Die bei der Auslegung und Dimensionierung der Ausrüstung (6.2.3, B.3) angewandten Kriterien müssen auch bei den Energieberechnungen angewendet werden. Die Raumluft darf nicht so stark entfeuchtet werden, dass ihre relative Feuchte unter den Auslegungswert fällt, und sie darf auch nicht so stark befeuchtet werden, dass ihre relative Luftfeuchte über den Auslegungswert ansteigt. Nicht genutzte Gebäude dürfen (mit wenigen Ausnahmen wie. z.B. Museen) nicht befeuchtet werden, müssen aber gegebenenfalls entfeuchtet werden, um Schäden durch langfristige Feuchte zu verhindern.</w:t>
      </w:r>
    </w:p>
    <w:p w:rsidR="005B6173" w:rsidRDefault="00682B78" w:rsidP="00207BFF">
      <w:pPr>
        <w:pStyle w:val="berschrift6"/>
      </w:pPr>
      <w:r w:rsidRPr="00A40C67">
        <w:t xml:space="preserve">8. Bewertung des Innenraumklimas und </w:t>
      </w:r>
      <w:r w:rsidR="00042C70" w:rsidRPr="00A40C67">
        <w:t>d</w:t>
      </w:r>
      <w:r w:rsidRPr="00A40C67">
        <w:t>er Langzeitindikatoren</w:t>
      </w:r>
    </w:p>
    <w:p w:rsidR="00042C70" w:rsidRDefault="00042C70" w:rsidP="006F1524">
      <w:pPr>
        <w:jc w:val="both"/>
      </w:pPr>
      <w:r>
        <w:t>Da die Betriebslasten des Gebäudes örtlich und zeitlich schwanken, kann der Fall eintreten, dass die betreffende Anlage nicht in der Lage ist, die Auslegungsbedingungen jederzeit und in allen Räumen einzuhalten. Es besteht die Notwendigkeit, die Langzeiteigenschaften des Gebäudes in Bezug auf das Innenraumklima zu bewerten. Diese Bewertung ist erforderlich, um die klimatischen Faktoren (des Innenraumklimas) im Energiepass (Artikel 6 und 7) angeben zu können. Dieser Abschnitt zeigt Indikatoren für eine derartige Bewertung und Ihre Anwendung auf. Die Bewertung des Innenraumklimas eines Gebäudes erfolgt durch Bewertung des Innenraumklimas typischer Räume, die verschiedene Bereiche des Gebäudes repräsentieren. Die Bewertung kann (1) auf der Auslegung (8.2), (2) auf Messungen (8.3), (3) auf Berechnungen (8.4) oder (4) auf Umfragen (8.5) beruhen.</w:t>
      </w:r>
    </w:p>
    <w:p w:rsidR="00042C70" w:rsidRDefault="00042C70" w:rsidP="00207BFF">
      <w:pPr>
        <w:pStyle w:val="berschrift7"/>
      </w:pPr>
      <w:r>
        <w:t>8.2. Auslegungsindikatoren</w:t>
      </w:r>
    </w:p>
    <w:p w:rsidR="00042C70" w:rsidRDefault="00042C70" w:rsidP="004E7D46">
      <w:r>
        <w:t>Die Bewertung der Kategorie des Innenraumklimas eines Gebäudes beruht auf den Kategorien der folgenden Innenraumklimafaktoren:</w:t>
      </w:r>
    </w:p>
    <w:p w:rsidR="00042C70" w:rsidRDefault="00042C70" w:rsidP="00042C70">
      <w:pPr>
        <w:pStyle w:val="Listenabsatz"/>
        <w:numPr>
          <w:ilvl w:val="0"/>
          <w:numId w:val="18"/>
        </w:numPr>
      </w:pPr>
      <w:r>
        <w:t>Thermische Kriterien für den Winter: festgelegt Auslegungswerte für die Innentemperatur während der Heizperiode (6.2.1).</w:t>
      </w:r>
    </w:p>
    <w:p w:rsidR="00042C70" w:rsidRDefault="00042C70" w:rsidP="00042C70">
      <w:pPr>
        <w:pStyle w:val="Listenabsatz"/>
        <w:numPr>
          <w:ilvl w:val="0"/>
          <w:numId w:val="18"/>
        </w:numPr>
      </w:pPr>
      <w:r>
        <w:t>Thermische Kriterien für den Sommer: festgelegt Auslegungswerte für Innentemperaturen währen der Kühlperiode (6.2.1 und 6.2.2)</w:t>
      </w:r>
    </w:p>
    <w:p w:rsidR="00042C70" w:rsidRDefault="00042C70" w:rsidP="00042C70">
      <w:pPr>
        <w:pStyle w:val="Listenabsatz"/>
        <w:numPr>
          <w:ilvl w:val="0"/>
          <w:numId w:val="18"/>
        </w:numPr>
      </w:pPr>
      <w:r>
        <w:t>Luftqualitäts- und Lüftungskriterien: Auslegungswerte für die Lüftung von Nichtwohngebäuden sind in 6.3.1 und für die Lüftung von Wohngebäuden in 6.3.2 angegeben;</w:t>
      </w:r>
    </w:p>
    <w:p w:rsidR="00042C70" w:rsidRDefault="00042C70" w:rsidP="00042C70">
      <w:pPr>
        <w:pStyle w:val="Listenabsatz"/>
        <w:numPr>
          <w:ilvl w:val="0"/>
          <w:numId w:val="18"/>
        </w:numPr>
      </w:pPr>
      <w:r>
        <w:t>Feuchtekriterien: Auslegungswerte für die Luftfeuchte sind in 6.4 angegeben;</w:t>
      </w:r>
    </w:p>
    <w:p w:rsidR="00042C70" w:rsidRDefault="00042C70" w:rsidP="00042C70">
      <w:pPr>
        <w:pStyle w:val="Listenabsatz"/>
        <w:numPr>
          <w:ilvl w:val="0"/>
          <w:numId w:val="18"/>
        </w:numPr>
      </w:pPr>
      <w:r>
        <w:t>Beleuchtungskriterien: Auslegungswerte für die Beleuchtung sind in 6.5 angegeben;</w:t>
      </w:r>
    </w:p>
    <w:p w:rsidR="00042C70" w:rsidRDefault="00042C70" w:rsidP="00042C70">
      <w:pPr>
        <w:pStyle w:val="Listenabsatz"/>
        <w:numPr>
          <w:ilvl w:val="0"/>
          <w:numId w:val="18"/>
        </w:numPr>
      </w:pPr>
      <w:r>
        <w:t>Kriterien für die Akustik: Auslegungswerte für Lärm sind in 6.6 angegeben.</w:t>
      </w:r>
    </w:p>
    <w:p w:rsidR="00042C70" w:rsidRDefault="00042C70" w:rsidP="00207BFF">
      <w:pPr>
        <w:pStyle w:val="berschrift7"/>
      </w:pPr>
      <w:r>
        <w:t>8.3 Berechnete Indikatoren des Innenraumklimas</w:t>
      </w:r>
    </w:p>
    <w:p w:rsidR="00042C70" w:rsidRDefault="00042C70" w:rsidP="00207BFF">
      <w:pPr>
        <w:pStyle w:val="berschrift8"/>
      </w:pPr>
      <w:r>
        <w:t>8.3.1 Allgemeines</w:t>
      </w:r>
    </w:p>
    <w:p w:rsidR="00B252AC" w:rsidRDefault="00042C70" w:rsidP="006F1524">
      <w:pPr>
        <w:jc w:val="both"/>
      </w:pPr>
      <w:r>
        <w:t>Gebäudesimulation ist ein kostene</w:t>
      </w:r>
      <w:r w:rsidR="00B252AC">
        <w:t>ffizientes Verfahren für die Analyse der Eigenschaften von Gebäuden. Die Computerprogramme sind nach prEN 15265 und prEN 15255 zu validieren. Je nach Verwendungszweck können verschiedene Indikatoren des Innenraumklimas berechnet werden. Im Folgenden sind vier verschiedene Verfahren für die thermische Bewertung angegeben.</w:t>
      </w:r>
    </w:p>
    <w:p w:rsidR="00B252AC" w:rsidRDefault="00B252AC" w:rsidP="00207BFF">
      <w:pPr>
        <w:pStyle w:val="berschrift8"/>
      </w:pPr>
      <w:r>
        <w:t>8.3.2 Einfacher Indikator</w:t>
      </w:r>
    </w:p>
    <w:p w:rsidR="00364941" w:rsidRDefault="00B252AC" w:rsidP="006F1524">
      <w:pPr>
        <w:jc w:val="both"/>
      </w:pPr>
      <w:r>
        <w:t>Um die Eigenschaften des gesamten G</w:t>
      </w:r>
      <w:r w:rsidR="00364941">
        <w:t>ebäudes bewerten zu können, müssen repräsentative Räume simuliert werden. Das Gebäude erfüllt die Kriterien einer bestimmten Kategorie, wenn die 95 % des Gebäudevolumens repräsentierenden Räume die für die gewählte Kategorie geltenden Kriterien erfüllen.</w:t>
      </w:r>
    </w:p>
    <w:p w:rsidR="00364941" w:rsidRDefault="00364941" w:rsidP="00207BFF">
      <w:pPr>
        <w:pStyle w:val="berschrift8"/>
      </w:pPr>
      <w:r>
        <w:t>8.3.3 Stundenkriterien</w:t>
      </w:r>
    </w:p>
    <w:p w:rsidR="00364941" w:rsidRDefault="00364941" w:rsidP="006F1524">
      <w:pPr>
        <w:jc w:val="both"/>
      </w:pPr>
      <w:r>
        <w:t>Die Eigenschaften von Gebäuden oder Räumen mit verschiedenen mechanischen oder elektrischen Anlagen können durch Berechnung der Anzahl der Stunden oder des prozentualen zeitlichen Anteils bewertet werden, in denen/dem die Kriterien tatsächlich erfüllt oder nicht erfüllt werden.</w:t>
      </w:r>
    </w:p>
    <w:p w:rsidR="00364941" w:rsidRDefault="00364941" w:rsidP="00042C70">
      <w:r>
        <w:t>Dieses Verfahren ist in Anhang F anhand eines Beispiels beschrieben.</w:t>
      </w:r>
    </w:p>
    <w:p w:rsidR="00364941" w:rsidRDefault="00207BFF" w:rsidP="00207BFF">
      <w:pPr>
        <w:pStyle w:val="berschrift8"/>
      </w:pPr>
      <w:r>
        <w:t xml:space="preserve">8.3.4 </w:t>
      </w:r>
      <w:r w:rsidR="00364941">
        <w:t>Gradstunden-Kriterien</w:t>
      </w:r>
    </w:p>
    <w:p w:rsidR="00364941" w:rsidRDefault="00364941" w:rsidP="006F1524">
      <w:pPr>
        <w:jc w:val="both"/>
      </w:pPr>
      <w:r>
        <w:t>Im Hinblick auf das thermische Raumklima können die außerhalb der Grenzwerte liegenden Gradstunden als Leistungsindikatoren des Gebäudes für die warme oder kalte Jahreszeit verwendet werden.</w:t>
      </w:r>
    </w:p>
    <w:p w:rsidR="00364941" w:rsidRDefault="00364941" w:rsidP="00042C70">
      <w:r>
        <w:t>Dieses Verfahren ist in Anhang F anhand eines Beispiels beschrieben.</w:t>
      </w:r>
    </w:p>
    <w:p w:rsidR="00682B78" w:rsidRPr="00CB4807" w:rsidRDefault="00682B78" w:rsidP="00207BFF">
      <w:pPr>
        <w:pStyle w:val="berschrift6"/>
      </w:pPr>
      <w:r w:rsidRPr="00CB4807">
        <w:t>10. Klassifizierung und Zertif</w:t>
      </w:r>
      <w:r w:rsidR="00207BFF">
        <w:t>izierung des Innenraumklimas</w:t>
      </w:r>
    </w:p>
    <w:p w:rsidR="00207BFF" w:rsidRDefault="00963354" w:rsidP="00207BFF">
      <w:pPr>
        <w:pStyle w:val="berschrift7"/>
      </w:pPr>
      <w:r w:rsidRPr="00CB4807">
        <w:t xml:space="preserve">10.1 Allgemeines </w:t>
      </w:r>
    </w:p>
    <w:p w:rsidR="00364941" w:rsidRPr="00CB4807" w:rsidRDefault="00364941" w:rsidP="006F1524">
      <w:pPr>
        <w:jc w:val="both"/>
      </w:pPr>
      <w:r w:rsidRPr="00CB4807">
        <w:t>Die Informationen zum Innenraumklima eines Gebäudes sollten in das Zertifikat, d.h. den Energiepass des Gebäudes (Artikel 7 der EPBD) aufgenommen werden, damit die Gesamteffizienz des Gebäudes bewertet werden kann. Für diesen Energiepass ist eine Klassifizierung des Innenraumklimas erforderlich. Für die Erstel</w:t>
      </w:r>
      <w:r w:rsidR="00963354" w:rsidRPr="00CB4807">
        <w:t>lung des Passes kann es erforderlich sein, komplexe Innenraumklima-Informationen in einen einfachen Gesamtindikator der Innenraumklimaqualität des Gebäudes zu übersetzen.</w:t>
      </w:r>
    </w:p>
    <w:p w:rsidR="00963354" w:rsidRPr="00CB4807" w:rsidRDefault="00963354" w:rsidP="006F1524">
      <w:pPr>
        <w:jc w:val="both"/>
      </w:pPr>
      <w:r w:rsidRPr="00CB4807">
        <w:t>Aufgrund der zahlreichen Parameter und unzureichenden Kenntnissen über den kombinierten Einfluss der Innenraumklima-Parameter wird empfohlen, eine Gesamtklassifizierung vorzunehmen, die lediglich auf dem thermischen Raumklima und der Raumluftqualität beruht.</w:t>
      </w:r>
    </w:p>
    <w:p w:rsidR="00963354" w:rsidRPr="00CB4807" w:rsidRDefault="00963354" w:rsidP="00207BFF">
      <w:pPr>
        <w:pStyle w:val="berschrift7"/>
      </w:pPr>
      <w:r w:rsidRPr="00CB4807">
        <w:t>10.2 Detaillierte Klassifizierung und Zertifizierung</w:t>
      </w:r>
    </w:p>
    <w:p w:rsidR="00963354" w:rsidRPr="00CB4807" w:rsidRDefault="00963354" w:rsidP="006F1524">
      <w:pPr>
        <w:jc w:val="both"/>
      </w:pPr>
      <w:r w:rsidRPr="00CB4807">
        <w:t>Die Bewertung des Innenraumklimas umfasst 1) thermische Kriterien für den Winter, 2) thermische Kriterien für den Sommer, 3) Luftqualitäts- und Lüftungskriterien, 4) Beleuchtungskriterien und 5) Kriterien der Akustik. Die Klassifizierung des Innenraumklimas kann auf der Angabe der Auslegungskriterien für jeden Parameter oder auf Berechnungen oder Messungen der entsprechenden Parameter wie Raumtemperatur, Lüftungsraten, Luftfeuchte, CO2-Konzentration über einen bestimmten Zeitraum (Woche, Monat, Jahr) beruhen. Die Basis der Bewertung muss bei der Klassifizierung und Zertifizierung angegeben werden. Anhang I enthält ein Beispiel.</w:t>
      </w:r>
    </w:p>
    <w:p w:rsidR="00963354" w:rsidRPr="00CB4807" w:rsidRDefault="00963354" w:rsidP="00207BFF">
      <w:pPr>
        <w:pStyle w:val="berschrift7"/>
      </w:pPr>
      <w:r w:rsidRPr="00CB4807">
        <w:t>10.3 Empfohlene Gesamtbewertung des Innenraumklimas und Zertifizierung</w:t>
      </w:r>
    </w:p>
    <w:p w:rsidR="00963354" w:rsidRPr="00CB4807" w:rsidRDefault="00963354" w:rsidP="006F1524">
      <w:pPr>
        <w:jc w:val="both"/>
      </w:pPr>
      <w:r w:rsidRPr="00CB4807">
        <w:t>Für die Gesamtbewertung wird empfohlen, dass die thermischen Bedingungen und die Raumluftqualität getrennt voneinander angegeben werden. Die Angabe kann als prozentualer Anteil der Zeit, in der das Innenraumklima (Temperaturen, Lüftungsraten oder CO2-Konzentrationen) innerhalb der verschiedenen Kategorien (I, II, III, IV) liegen. Anhang I enthält Beispiele.</w:t>
      </w:r>
    </w:p>
    <w:p w:rsidR="00963354" w:rsidRDefault="00963354" w:rsidP="004E7D46">
      <w:pPr>
        <w:rPr>
          <w:highlight w:val="yellow"/>
        </w:rPr>
      </w:pPr>
    </w:p>
    <w:p w:rsidR="00CB4807" w:rsidRPr="006F1524" w:rsidRDefault="00CB4807" w:rsidP="00207BFF">
      <w:pPr>
        <w:pStyle w:val="berschrift6"/>
      </w:pPr>
      <w:r w:rsidRPr="006F1524">
        <w:t xml:space="preserve">Anhang A </w:t>
      </w:r>
      <w:r w:rsidR="004E7D46" w:rsidRPr="006F1524">
        <w:t>(informativ)</w:t>
      </w:r>
      <w:r w:rsidRPr="006F1524">
        <w:t xml:space="preserve"> Empfohlene Kriterien für das thermische Raumklima</w:t>
      </w:r>
    </w:p>
    <w:p w:rsidR="00CB4807" w:rsidRPr="006F1524" w:rsidRDefault="00CB4807" w:rsidP="00207BFF">
      <w:pPr>
        <w:pStyle w:val="berschrift7"/>
      </w:pPr>
      <w:r w:rsidRPr="006F1524">
        <w:t>A.1 Empfohlene Kategorien für die Auslegung von maschinell geheizten und gekühlten Gebäuden</w:t>
      </w:r>
    </w:p>
    <w:p w:rsidR="00CB4807" w:rsidRPr="006F1524" w:rsidRDefault="00CB4807" w:rsidP="00BF0A4A">
      <w:pPr>
        <w:jc w:val="both"/>
      </w:pPr>
      <w:r w:rsidRPr="006F1524">
        <w:t>Unter der Annahme unterschiedlicher Kriterien für die PPD-PMV (EN ISO 7730) werden unterschiedliche Kategorien des Innenraumklimas festgelegt. Die empfohlene n PPD-Bereiche sind in der nachstehenden Tabelle A.1 angegeben. Der PMV-PPD-Index berücksichtigt den Einfluss aller 6 thermischen Parameter (Bekleidung, Aktivität, Lufttemperatur, und mittlere Strahlungstemperatur, Luftgeschwindigkeit und Luftfeuchte) und kann direkt als Kriterium verwendet werden. Durch eine angenommene Kombination von Aktivität und Bekleidung, einer angenommenen relativen Feuchte von 50 % und niedrigen Luftgeschwindigkeiten kann ein entsprechender Bereich der operativen Temperaturen festgelegt und die Kriterien als Temperaturbereich angegeben werden. Bei der Auslegung und Dimensionierung sollten weitere Kriterien für das thermische Raumklima (Zugluft, vertikale Lufttemperaturunterschiede, Fußbodentemperatur und Asymmetrie der Strahlungstemperatur) berücksichtigt werden (siehe EN ISO 7730).</w:t>
      </w:r>
    </w:p>
    <w:p w:rsidR="00441E7C" w:rsidRDefault="00441E7C" w:rsidP="00441E7C">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9</w:t>
      </w:r>
      <w:r w:rsidR="0057391F">
        <w:rPr>
          <w:noProof/>
        </w:rPr>
        <w:fldChar w:fldCharType="end"/>
      </w:r>
      <w:r>
        <w:t>: Beispiele empfohlener Kategorien für die Auslegung maschinell geheizter und gekühlter Gebäude (Tabelle A.1)</w:t>
      </w:r>
    </w:p>
    <w:p w:rsidR="00CB4807" w:rsidRDefault="00CB4807" w:rsidP="00441E7C">
      <w:pPr>
        <w:jc w:val="center"/>
        <w:rPr>
          <w:highlight w:val="yellow"/>
        </w:rPr>
      </w:pPr>
      <w:r>
        <w:rPr>
          <w:noProof/>
          <w:lang w:val="de-AT" w:eastAsia="de-AT"/>
        </w:rPr>
        <w:drawing>
          <wp:inline distT="0" distB="0" distL="0" distR="0" wp14:anchorId="14E089A4" wp14:editId="762692DA">
            <wp:extent cx="4181475" cy="1522193"/>
            <wp:effectExtent l="0" t="0" r="0" b="190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17966"/>
                    <a:stretch/>
                  </pic:blipFill>
                  <pic:spPr bwMode="auto">
                    <a:xfrm>
                      <a:off x="0" y="0"/>
                      <a:ext cx="4187504" cy="1524388"/>
                    </a:xfrm>
                    <a:prstGeom prst="rect">
                      <a:avLst/>
                    </a:prstGeom>
                    <a:ln>
                      <a:noFill/>
                    </a:ln>
                    <a:extLst>
                      <a:ext uri="{53640926-AAD7-44D8-BBD7-CCE9431645EC}">
                        <a14:shadowObscured xmlns:a14="http://schemas.microsoft.com/office/drawing/2010/main"/>
                      </a:ext>
                    </a:extLst>
                  </pic:spPr>
                </pic:pic>
              </a:graphicData>
            </a:graphic>
          </wp:inline>
        </w:drawing>
      </w:r>
    </w:p>
    <w:p w:rsidR="00CB4807" w:rsidRPr="006F1524" w:rsidRDefault="00CB4807" w:rsidP="00BF0A4A">
      <w:pPr>
        <w:jc w:val="both"/>
      </w:pPr>
      <w:r w:rsidRPr="006F1524">
        <w:t>In der Tabelle sind die angenommenen Winter- und Sommer-Bekleidungsniveaus (clo-Werte) und Aktivitätsgrade (met-Werte) aufgeführt. Die in Tabelle A.2 angegebenen Temperaturen sind operative Temperaturen (EN ISO 7726) unter Auslegungslasten bei den im Entwurf vorgesehenen Witterungsbedingungen, die national nach ISO 15927-4 und ISO 15927-5 festgelegt werden. In den meisten Fällen kann die mittlere Raumlufttemperatur als Auslegungstemperatur verwendet werden, falls jedoch die Temperaturen von großen Raumoberflächen signifikant von der Lufttemperatur abweichen, sollte die operative Temperatur verwendet werden. Weitere Informationen zur Bekleidung und Aktivität können EN ISO 9920 und EN ISO 8996 entnommen werden. Der Wert der Auslegungstemperatur kann von den angegebenen Werten abweichen, um zum Beispiel lokale Gegebenheiten oder gewünschte Energieeinsparungen zu berücksichtigen, soweit die Abweichung von der Auslegungstemperatur innerhalb eines Tages den angegebenen Bereich nicht überschreitet und den Nutzern die Zeit und Gelegenheit gegeben wird, sich an die geänderte Auslegungstemperatur anzupassen.</w:t>
      </w:r>
    </w:p>
    <w:p w:rsidR="00441E7C" w:rsidRDefault="00441E7C" w:rsidP="00441E7C">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10</w:t>
      </w:r>
      <w:r w:rsidR="0057391F">
        <w:rPr>
          <w:noProof/>
        </w:rPr>
        <w:fldChar w:fldCharType="end"/>
      </w:r>
      <w:r>
        <w:t>: Beispiele für empfohlene Auslegungswerte der Innenraumtemperatur für die Auslegung von Gebäuden und RLT-Anlagen (Tabelle A.2)</w:t>
      </w:r>
    </w:p>
    <w:p w:rsidR="004E7D46" w:rsidRPr="006F1524" w:rsidRDefault="00CB4807" w:rsidP="0096109A">
      <w:pPr>
        <w:jc w:val="center"/>
      </w:pPr>
      <w:r w:rsidRPr="006F1524">
        <w:rPr>
          <w:noProof/>
          <w:lang w:val="de-AT" w:eastAsia="de-AT"/>
        </w:rPr>
        <w:drawing>
          <wp:inline distT="0" distB="0" distL="0" distR="0" wp14:anchorId="11F8F380" wp14:editId="16A22156">
            <wp:extent cx="5151346" cy="6520069"/>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4613"/>
                    <a:stretch/>
                  </pic:blipFill>
                  <pic:spPr bwMode="auto">
                    <a:xfrm>
                      <a:off x="0" y="0"/>
                      <a:ext cx="5156408" cy="6526476"/>
                    </a:xfrm>
                    <a:prstGeom prst="rect">
                      <a:avLst/>
                    </a:prstGeom>
                    <a:ln>
                      <a:noFill/>
                    </a:ln>
                    <a:extLst>
                      <a:ext uri="{53640926-AAD7-44D8-BBD7-CCE9431645EC}">
                        <a14:shadowObscured xmlns:a14="http://schemas.microsoft.com/office/drawing/2010/main"/>
                      </a:ext>
                    </a:extLst>
                  </pic:spPr>
                </pic:pic>
              </a:graphicData>
            </a:graphic>
          </wp:inline>
        </w:drawing>
      </w:r>
    </w:p>
    <w:p w:rsidR="00CB4807" w:rsidRPr="006F1524" w:rsidRDefault="00CB4807" w:rsidP="00207BFF">
      <w:pPr>
        <w:pStyle w:val="berschrift7"/>
      </w:pPr>
      <w:r w:rsidRPr="006F1524">
        <w:t>A.2 Zulässige Innentemperaturen für den Entwurf von Gebäuden ohne maschinelle Kühlanlagen</w:t>
      </w:r>
    </w:p>
    <w:p w:rsidR="00CB4807" w:rsidRPr="006F1524" w:rsidRDefault="00CB4807" w:rsidP="00BF0A4A">
      <w:pPr>
        <w:jc w:val="both"/>
      </w:pPr>
      <w:r w:rsidRPr="006F1524">
        <w:t>In Bild A.1 sind die zulässigen Innentemperaturen im Sommer (Kühlperiode) für Gebäude ohne maschinelle Kühlanlagen dargestellt.</w:t>
      </w:r>
    </w:p>
    <w:p w:rsidR="00CB4807" w:rsidRPr="006F1524" w:rsidRDefault="00CB4807" w:rsidP="00BF0A4A">
      <w:pPr>
        <w:jc w:val="both"/>
      </w:pPr>
      <w:r w:rsidRPr="006F1524">
        <w:t>Die In Bild A.1 angegebenen operativen Temperaturen (Raumtemperaturen) gelten hauptsächlich für Bürogebäude und Gebäude ähnlichen Typs, die für Nutzung durch Personen vorgesehen sind, die hauptsächlich sitzende Tätigkeit ausführen, sowie für Wohnungen, in denen Fenster leicht geöffnet werden können und sie sich darin aufhaltenden Personen ihre Kleidung leicht an die innen und außen herrschenden thermischen Bedingungen anpassen können.</w:t>
      </w:r>
    </w:p>
    <w:p w:rsidR="00441E7C" w:rsidRDefault="00CB4807" w:rsidP="00441E7C">
      <w:pPr>
        <w:keepNext/>
        <w:jc w:val="center"/>
      </w:pPr>
      <w:r w:rsidRPr="006F1524">
        <w:rPr>
          <w:noProof/>
          <w:lang w:val="de-AT" w:eastAsia="de-AT"/>
        </w:rPr>
        <w:drawing>
          <wp:inline distT="0" distB="0" distL="0" distR="0" wp14:anchorId="31B562E9" wp14:editId="16A04157">
            <wp:extent cx="3633746" cy="2759075"/>
            <wp:effectExtent l="0" t="0" r="5080" b="317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b="11203"/>
                    <a:stretch/>
                  </pic:blipFill>
                  <pic:spPr bwMode="auto">
                    <a:xfrm>
                      <a:off x="0" y="0"/>
                      <a:ext cx="3637150" cy="2761659"/>
                    </a:xfrm>
                    <a:prstGeom prst="rect">
                      <a:avLst/>
                    </a:prstGeom>
                    <a:ln>
                      <a:noFill/>
                    </a:ln>
                    <a:extLst>
                      <a:ext uri="{53640926-AAD7-44D8-BBD7-CCE9431645EC}">
                        <a14:shadowObscured xmlns:a14="http://schemas.microsoft.com/office/drawing/2010/main"/>
                      </a:ext>
                    </a:extLst>
                  </pic:spPr>
                </pic:pic>
              </a:graphicData>
            </a:graphic>
          </wp:inline>
        </w:drawing>
      </w:r>
    </w:p>
    <w:p w:rsidR="00CB4807" w:rsidRPr="006F1524" w:rsidRDefault="00441E7C" w:rsidP="00441E7C">
      <w:pPr>
        <w:pStyle w:val="Beschriftung"/>
      </w:pPr>
      <w:r>
        <w:t xml:space="preserve">Abbildung </w:t>
      </w:r>
      <w:r w:rsidR="0057391F">
        <w:fldChar w:fldCharType="begin"/>
      </w:r>
      <w:r w:rsidR="0057391F">
        <w:instrText xml:space="preserve"> SEQ Abbildung \* ARABIC </w:instrText>
      </w:r>
      <w:r w:rsidR="0057391F">
        <w:fldChar w:fldCharType="separate"/>
      </w:r>
      <w:r w:rsidR="00C10B8B">
        <w:rPr>
          <w:noProof/>
        </w:rPr>
        <w:t>5</w:t>
      </w:r>
      <w:r w:rsidR="0057391F">
        <w:rPr>
          <w:noProof/>
        </w:rPr>
        <w:fldChar w:fldCharType="end"/>
      </w:r>
      <w:r>
        <w:t>: Auslegungswerte für operative Innentemperatur von Gebäuden ohne maschinelle Kühlanlage, dargestellt als Funktion des exponentiell gewichteten gleitenden Mittelwertes der Außentemperatur (Abb. A.1)</w:t>
      </w:r>
    </w:p>
    <w:p w:rsidR="00CB4807" w:rsidRPr="006F1524" w:rsidRDefault="00CB4807" w:rsidP="00BF0A4A">
      <w:pPr>
        <w:jc w:val="both"/>
      </w:pPr>
      <w:r w:rsidRPr="006F1524">
        <w:t>Die Temperaturgrenzen gelten nur, wenn die thermischen Bedingungen in den Räumen in erster Linie von den Nutzern durch Öffnen und Schließen der Fenster geregelt werden. Verschiedene Feldversuche haben gezeigt, dass die thermische Reaktion der Nutzer in derartigen Räumen zum Teil vom Außenklima abhängt und sich von der thermischen Reaktion in Gebäuden mit RLT-Anlagen unterscheidet, was vor allem auf Unterschiede im thermischen Empfinden, der Verfügbarkeit von Regeleinrichtungen und einer Verschiebung der Erwartungen der Nutzer zurückzuführen ist.</w:t>
      </w:r>
    </w:p>
    <w:p w:rsidR="00CB4807" w:rsidRPr="006F1524" w:rsidRDefault="00CB4807" w:rsidP="00BF0A4A">
      <w:pPr>
        <w:jc w:val="both"/>
      </w:pPr>
      <w:r w:rsidRPr="006F1524">
        <w:t>Damit dieses optionale Verfahren angewendet werden kann, müssen die betreffenden Räume über Fenster verfügen, die sich zur Außenluft öffnen lassen und von den Nutzern leicht geöffnet und angepasst werden können.</w:t>
      </w:r>
    </w:p>
    <w:p w:rsidR="003D6FA2" w:rsidRPr="006F1524" w:rsidRDefault="00CB4807" w:rsidP="00BF0A4A">
      <w:pPr>
        <w:jc w:val="both"/>
      </w:pPr>
      <w:r w:rsidRPr="006F1524">
        <w:t xml:space="preserve">Im Raum </w:t>
      </w:r>
      <w:r w:rsidR="003D6FA2" w:rsidRPr="006F1524">
        <w:t>darf keine maschinelle Kühlung zum Einsatz kommen. Eine maschinelle Lüftung mit ungekühlter Luft (im Sommer) darf verwendet werden, jedoch muss dem Öffnen und Schließen von Fenstern zur Regelung des Raumklimas der Vorzug gegeben werden. Zusätzlich können weitere energiearme Möglichkeiten zur persönlichen Regelung der Innentemperatur angewendet werden, zum Beispiel Ventilatoren, Jalousien, Nachtlüftung usw. Die Räume können mit einer Heizungsanlage ausgestattet sein, dieses optionale Verfahren gilt jedoch nicht für die Jahreszeiten, in denen die Heizungsanlage in Betrieb ist, wenn A.1 gilt.</w:t>
      </w:r>
    </w:p>
    <w:p w:rsidR="003D6FA2" w:rsidRPr="006F1524" w:rsidRDefault="003D6FA2" w:rsidP="00BF0A4A">
      <w:pPr>
        <w:jc w:val="both"/>
      </w:pPr>
      <w:r w:rsidRPr="006F1524">
        <w:t>Dieses optionale Verfahren gilt nur für Räume, in denen die Nutzer mit nahezu ausschließlich sitzenden Tätigkeiten beschäftigt sind, bei denen die Stoffwechselrate zwischen 1,0 met und 1,3 met liegt. Es ist auch wichtig, strenge Bekleidungsvorschriften im Gebäude zu vermeiden, damit die Nutzer die Wärmedämmung ihrer Bekleidung nach Wunsch anpassen können.</w:t>
      </w:r>
    </w:p>
    <w:p w:rsidR="00CB4807" w:rsidRPr="006F1524" w:rsidRDefault="003D6FA2" w:rsidP="00BF0A4A">
      <w:pPr>
        <w:jc w:val="both"/>
      </w:pPr>
      <w:r w:rsidRPr="006F1524">
        <w:t>Die im vorliegenden Anhang angegebenen Temperaturgrenzen (für den Sommer) beruhen hauptsächlich auf Untersuchungen in Bürogebäuden. Aufgrund der allgemeinen Kenntnisse in Bezug auf die thermische Behaglichkeit</w:t>
      </w:r>
      <w:r w:rsidR="00CB4807" w:rsidRPr="006F1524">
        <w:t xml:space="preserve"> </w:t>
      </w:r>
      <w:r w:rsidRPr="006F1524">
        <w:t>und menschliche Reaktionen kann jedoch dennoch angenommen werden, dass die Grenzen auf andere (vergleichbare) Gebäude zutreffen, in denen ebenfalls nahezu ausschließlich sitzende Tätigkeiten ausgeführt werden, wie etwa Wohngebäude. Besonders bei Wohngebäuden sind die Möglichkeiten der (verhaltensmäßigen) Anpassung relativ groß: Der Metabolismus (Stoffwechsel) und die Menge der je nach herrschenden Witterungsbedingungen und der Innentemperatur getragenen Bekleidung können relativ frei angepasst werden.</w:t>
      </w:r>
    </w:p>
    <w:p w:rsidR="003D6FA2" w:rsidRPr="006F1524" w:rsidRDefault="003D6FA2" w:rsidP="00BF0A4A">
      <w:pPr>
        <w:jc w:val="both"/>
      </w:pPr>
      <w:r w:rsidRPr="006F1524">
        <w:t>Die Temperaturgrenzen in Bild A.1 basieren auf Behaglichkeitsuntersuchungen in Büros, die die Arbeitsleistung nicht berücksichtigt haben.</w:t>
      </w:r>
    </w:p>
    <w:p w:rsidR="003D6FA2" w:rsidRPr="006F1524" w:rsidRDefault="003D6FA2" w:rsidP="00BF0A4A">
      <w:pPr>
        <w:jc w:val="both"/>
      </w:pPr>
      <w:r w:rsidRPr="006F1524">
        <w:t>In Großraumbüros (Bürolandschaften) haben die meisten Nutzer nur einen eingeschränkten Zugang zu Fenstern und daher eine geringe Regelungsmöglichkeit der freien Lüftung. Daher treffen die in diesem Anhang angegebenen Temperaturgrenzen in derartigen Situationen möglicherweise nicht immer zu.</w:t>
      </w:r>
    </w:p>
    <w:p w:rsidR="003D6FA2" w:rsidRPr="006F1524" w:rsidRDefault="003D6FA2" w:rsidP="00BF0A4A">
      <w:pPr>
        <w:jc w:val="both"/>
      </w:pPr>
      <w:r w:rsidRPr="006F1524">
        <w:t>Im Bild sind 3 Kategorien von Temperaturgrenzwerten dargestellt, die wie in der Einleitung und in Abschnitt 5 dieser Norm beschrieben anzuwensen sind. Die zulässigen operativen Innentemperaturen von Bild A.1 sind in Abhängigkeit des gleitenden Mittelwertes der Außentemperatur gezeigt. Dieser ist definiert als der exponentiell gewichtetet gleitende Mittelwert der Tagesaußentemperatur [zu Verfahren der Berechnung siehe Gleichung (2) und Gleichung (3) im Abschnitt Begriffe].</w:t>
      </w:r>
    </w:p>
    <w:p w:rsidR="003D6FA2" w:rsidRPr="006F1524" w:rsidRDefault="003D6FA2" w:rsidP="00BF0A4A">
      <w:pPr>
        <w:jc w:val="both"/>
      </w:pPr>
      <w:r w:rsidRPr="006F1524">
        <w:t>Die Gleichungen, die die Geraden in Bild A.1 darstellen, sind</w:t>
      </w:r>
    </w:p>
    <w:p w:rsidR="003D6FA2" w:rsidRPr="006F1524" w:rsidRDefault="003D6FA2" w:rsidP="00441E7C">
      <w:pPr>
        <w:jc w:val="center"/>
      </w:pPr>
      <w:r w:rsidRPr="006F1524">
        <w:rPr>
          <w:noProof/>
          <w:lang w:val="de-AT" w:eastAsia="de-AT"/>
        </w:rPr>
        <w:drawing>
          <wp:inline distT="0" distB="0" distL="0" distR="0" wp14:anchorId="250163CE" wp14:editId="415E8929">
            <wp:extent cx="5212731" cy="2511599"/>
            <wp:effectExtent l="0" t="0" r="6985" b="317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226268" cy="2518121"/>
                    </a:xfrm>
                    <a:prstGeom prst="rect">
                      <a:avLst/>
                    </a:prstGeom>
                  </pic:spPr>
                </pic:pic>
              </a:graphicData>
            </a:graphic>
          </wp:inline>
        </w:drawing>
      </w:r>
    </w:p>
    <w:p w:rsidR="00CE3B88" w:rsidRPr="006F1524" w:rsidRDefault="00CE3B88" w:rsidP="00BF0A4A">
      <w:pPr>
        <w:jc w:val="both"/>
      </w:pPr>
      <w:r w:rsidRPr="006F1524">
        <w:t>Die folgenden Temperaturgrenzen sollten in der Heizperiode ohne maschinelle Kühlanlage angewendet werden: Unterhalb eines gleitenden Mittelwertes der Außentemperatur von 10°C sind für die oberen Grenzwerte dieselben Werte (I,II, III) anzuwenden wie für maschinell gekühlte Gebäude (Winter-Höchsttemperatur siehe 6.2.1); unterhalb eines gleitenden Mittelwertes der Außentemperatur von 15 °C sind für die unteren Grenzwerte dieselben werten (I,II, III) anzuwenden wie für maschinell gekühlte Gebäude (Winter-Tiefsttemperatur siehe 6.2.1).</w:t>
      </w:r>
    </w:p>
    <w:p w:rsidR="00CE3B88" w:rsidRPr="006F1524" w:rsidRDefault="00CE3B88" w:rsidP="00BF0A4A">
      <w:pPr>
        <w:jc w:val="both"/>
      </w:pPr>
      <w:r w:rsidRPr="006F1524">
        <w:t>Die in A.2 angegebenen Temperaturgrenzen sollten für die Dimensionierung von passiven Mitteln des Überhitzungsschutzes im Sommer verwendet werden, z.B. bei der Dimensionierung und Ausrichtung von Fenster, der Dimensionierung der Sonnenlichtabschattung und der thermischen Kapazität der Gebäudekonstruktion. Können die in A.2 angegebenen anpassbaren Temperaturgrenzen (obere Grenzwerte) durch passive Mittel nicht sichergestellt werden, ist eine maschinelle Kühlung unvermeidbar. In derartigen Fällen sollten die Auslegungskriterien für Gebäude mit maschineller Kühlung verwendet werden.</w:t>
      </w:r>
    </w:p>
    <w:p w:rsidR="00CE3B88" w:rsidRPr="006F1524" w:rsidRDefault="00CE3B88" w:rsidP="00BF0A4A">
      <w:pPr>
        <w:jc w:val="both"/>
      </w:pPr>
      <w:r w:rsidRPr="006F1524">
        <w:t>Es ist zu beachten, dass Bild A.1 die Anpassung der Bekleidung von Personen bereits berücksichtigt; daher ist es nicht erforderlich, bei Anwendung des hier beschriebenen alternativen Verfahrens die Bekleidungswerte zu schä</w:t>
      </w:r>
      <w:r w:rsidR="001C1606" w:rsidRPr="006F1524">
        <w:t>tz</w:t>
      </w:r>
      <w:r w:rsidRPr="006F1524">
        <w:t>en.</w:t>
      </w:r>
    </w:p>
    <w:p w:rsidR="001C1606" w:rsidRPr="006F1524" w:rsidRDefault="001C1606" w:rsidP="00BF0A4A">
      <w:pPr>
        <w:jc w:val="both"/>
      </w:pPr>
      <w:r w:rsidRPr="006F1524">
        <w:t>Bei Behaglichkeitsbedingungen im Sommer (operative Innentemperatur &gt; 25 °C) kann eine erhöhte Luftgeschwindigkeit genutzt werden, um erhöhte Lufttemperaturen auszugleichen. Bei Verwendung von Ventilatoren (die unmittelbar durch die Nutzer eingestellt werden können) oder anderen Mitteln der persönlichen Anpassung der Luftgeschwindigkeit (z.B. persönliche Lüftungsanlagen) können die in Bild A.1 angegebenen oberen Grenzwerte um einige Grad erhöht werden. Die genaue Temperaturkorrektur hängt von der vom Ventilator erzeugten Luftgeschwindigkeit ab, die aus Bild A.2 entnommen werden kann. Dieses Verfahren kann auch zur Vermeidung von extremen Temperaturen bei maschinell geregelten Gebäuden verwendet werden, wenn das lokale Verfahren zur Regelung der Luftbewegung (Ventilator usw.) zu Verfügung steht.</w:t>
      </w:r>
    </w:p>
    <w:p w:rsidR="00441E7C" w:rsidRDefault="001C1606" w:rsidP="00441E7C">
      <w:pPr>
        <w:keepNext/>
        <w:jc w:val="center"/>
      </w:pPr>
      <w:r w:rsidRPr="006F1524">
        <w:rPr>
          <w:noProof/>
          <w:lang w:val="de-AT" w:eastAsia="de-AT"/>
        </w:rPr>
        <w:drawing>
          <wp:inline distT="0" distB="0" distL="0" distR="0" wp14:anchorId="7DDC6249" wp14:editId="0AB3804F">
            <wp:extent cx="4772505" cy="2058886"/>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b="9827"/>
                    <a:stretch/>
                  </pic:blipFill>
                  <pic:spPr bwMode="auto">
                    <a:xfrm>
                      <a:off x="0" y="0"/>
                      <a:ext cx="4780446" cy="2062312"/>
                    </a:xfrm>
                    <a:prstGeom prst="rect">
                      <a:avLst/>
                    </a:prstGeom>
                    <a:ln>
                      <a:noFill/>
                    </a:ln>
                    <a:extLst>
                      <a:ext uri="{53640926-AAD7-44D8-BBD7-CCE9431645EC}">
                        <a14:shadowObscured xmlns:a14="http://schemas.microsoft.com/office/drawing/2010/main"/>
                      </a:ext>
                    </a:extLst>
                  </pic:spPr>
                </pic:pic>
              </a:graphicData>
            </a:graphic>
          </wp:inline>
        </w:drawing>
      </w:r>
    </w:p>
    <w:p w:rsidR="001C1606" w:rsidRPr="006F1524" w:rsidRDefault="00441E7C" w:rsidP="00441E7C">
      <w:pPr>
        <w:pStyle w:val="Beschriftung"/>
      </w:pPr>
      <w:r>
        <w:t xml:space="preserve">Abbildung </w:t>
      </w:r>
      <w:r w:rsidR="0057391F">
        <w:fldChar w:fldCharType="begin"/>
      </w:r>
      <w:r w:rsidR="0057391F">
        <w:instrText xml:space="preserve"> SEQ Abbildung \* ARABIC </w:instrText>
      </w:r>
      <w:r w:rsidR="0057391F">
        <w:fldChar w:fldCharType="separate"/>
      </w:r>
      <w:r w:rsidR="00C10B8B">
        <w:rPr>
          <w:noProof/>
        </w:rPr>
        <w:t>6</w:t>
      </w:r>
      <w:r w:rsidR="0057391F">
        <w:rPr>
          <w:noProof/>
        </w:rPr>
        <w:fldChar w:fldCharType="end"/>
      </w:r>
      <w:r>
        <w:t>: Für den Ausgleich erhöhter Temperaturen erforderliche Luftgeschwindigkeit (EN ISO 7730)</w:t>
      </w:r>
    </w:p>
    <w:p w:rsidR="003D6FA2" w:rsidRPr="006F1524" w:rsidRDefault="001C1606" w:rsidP="00BF0A4A">
      <w:pPr>
        <w:jc w:val="both"/>
      </w:pPr>
      <w:r w:rsidRPr="006F1524">
        <w:t>Die Luftgeschwindigkeit erhöht sich um den Wert, der erforderlich ist, um die Gesamtwärmeübertragung durch die Haut aufrechtzuerhalten. Für die Akzeptanz der erhöhten Luftgeschwindigkeit ist es erforderlich, dass der Nutzer das Gerät, das die lokale Luftgeschwindigkeit erzeugt regeln kann.</w:t>
      </w:r>
    </w:p>
    <w:p w:rsidR="001C1606" w:rsidRPr="006F1524" w:rsidRDefault="001C1606" w:rsidP="00207BFF">
      <w:pPr>
        <w:pStyle w:val="berschrift7"/>
      </w:pPr>
      <w:r w:rsidRPr="006F1524">
        <w:t>A.3 Empfohlene Innentemperaturen für Energieberechnungen</w:t>
      </w:r>
    </w:p>
    <w:p w:rsidR="00441E7C" w:rsidRDefault="00441E7C" w:rsidP="00441E7C">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11</w:t>
      </w:r>
      <w:r w:rsidR="0057391F">
        <w:rPr>
          <w:noProof/>
        </w:rPr>
        <w:fldChar w:fldCharType="end"/>
      </w:r>
      <w:r>
        <w:t>: Temperaturbereiche für die stündliche Berechnung der Kühl- und Heizenergie für drei Kategorien des Innenraumklimas (Tabelle A.3)</w:t>
      </w:r>
    </w:p>
    <w:p w:rsidR="001C1606" w:rsidRPr="006F1524" w:rsidRDefault="001C1606" w:rsidP="0096109A">
      <w:pPr>
        <w:jc w:val="center"/>
      </w:pPr>
      <w:r w:rsidRPr="006F1524">
        <w:rPr>
          <w:noProof/>
          <w:lang w:val="de-AT" w:eastAsia="de-AT"/>
        </w:rPr>
        <w:drawing>
          <wp:inline distT="0" distB="0" distL="0" distR="0" wp14:anchorId="5EA3C9C1" wp14:editId="4C7FEA46">
            <wp:extent cx="4908379" cy="3440040"/>
            <wp:effectExtent l="0" t="0" r="6985" b="825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7698"/>
                    <a:stretch/>
                  </pic:blipFill>
                  <pic:spPr bwMode="auto">
                    <a:xfrm>
                      <a:off x="0" y="0"/>
                      <a:ext cx="4917880" cy="3446699"/>
                    </a:xfrm>
                    <a:prstGeom prst="rect">
                      <a:avLst/>
                    </a:prstGeom>
                    <a:ln>
                      <a:noFill/>
                    </a:ln>
                    <a:extLst>
                      <a:ext uri="{53640926-AAD7-44D8-BBD7-CCE9431645EC}">
                        <a14:shadowObscured xmlns:a14="http://schemas.microsoft.com/office/drawing/2010/main"/>
                      </a:ext>
                    </a:extLst>
                  </pic:spPr>
                </pic:pic>
              </a:graphicData>
            </a:graphic>
          </wp:inline>
        </w:drawing>
      </w:r>
    </w:p>
    <w:p w:rsidR="001C1606" w:rsidRPr="006F1524" w:rsidRDefault="001C1606" w:rsidP="00BF0A4A">
      <w:pPr>
        <w:jc w:val="both"/>
      </w:pPr>
      <w:r w:rsidRPr="006F1524">
        <w:t>Wie bereits in A.1 angemerkt, kann die mittlere Auslegungstemperatur von den angegebenen Werten abweichen, um, z.B. lokale Gegebenheiten oder gewünschte Energieeinsparungen zu berücksichtigen, soweit die Abweichung von der Auslegungstemperatur innerhalb eines Tages den angegebenen Bereich nicht überschreitet und den Nutzern die Zeit und Gelegenheit gegeben wird, sich an die geänderte Auslegungstemperatur anzupassen.</w:t>
      </w:r>
    </w:p>
    <w:p w:rsidR="004C15FD" w:rsidRPr="006F1524" w:rsidRDefault="004C15FD" w:rsidP="00207BFF">
      <w:pPr>
        <w:pStyle w:val="berschrift6"/>
      </w:pPr>
      <w:r w:rsidRPr="006F1524">
        <w:t>Anhang B</w:t>
      </w:r>
    </w:p>
    <w:p w:rsidR="004C15FD" w:rsidRPr="006F1524" w:rsidRDefault="004C15FD" w:rsidP="00207BFF">
      <w:pPr>
        <w:pStyle w:val="berschrift7"/>
      </w:pPr>
      <w:r w:rsidRPr="006F1524">
        <w:t>B.3 Empfohlene Kriterien für die Dimensionierung von Be- und Entfeuchtung</w:t>
      </w:r>
    </w:p>
    <w:p w:rsidR="004C15FD" w:rsidRPr="006F1524" w:rsidRDefault="004C15FD" w:rsidP="00BF0A4A">
      <w:pPr>
        <w:jc w:val="both"/>
      </w:pPr>
      <w:r w:rsidRPr="006F1524">
        <w:t>Bei Anwendung von Be- oder Entfeuchtung werden die in Tabelle B.6 angegebenen Werte als Auslegungswerte unter Auslegungsbedingungen empfohlen. Üblicherweise ist Be- oder Entfeuchtung nur in besonderen Gebäuden wie Museen, in einigen Gesundheitseinrich</w:t>
      </w:r>
      <w:r w:rsidR="0061240B">
        <w:t>t</w:t>
      </w:r>
      <w:r w:rsidRPr="006F1524">
        <w:t>unge</w:t>
      </w:r>
      <w:r w:rsidR="0061240B">
        <w:t>n</w:t>
      </w:r>
      <w:r w:rsidRPr="006F1524">
        <w:t>, in der Prozesssteuerungs- und Papierindustrie usw. erforderlich.</w:t>
      </w:r>
    </w:p>
    <w:p w:rsidR="004C15FD" w:rsidRPr="006F1524" w:rsidRDefault="004C15FD" w:rsidP="00BF0A4A">
      <w:pPr>
        <w:jc w:val="both"/>
      </w:pPr>
      <w:r w:rsidRPr="006F1524">
        <w:t>Darüberhinaus wird die Begrenzung der absoluten Feuchte auf 12 g/kg empfohlen.</w:t>
      </w:r>
    </w:p>
    <w:p w:rsidR="0061240B" w:rsidRDefault="0061240B" w:rsidP="0061240B">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12</w:t>
      </w:r>
      <w:r w:rsidR="0057391F">
        <w:rPr>
          <w:noProof/>
        </w:rPr>
        <w:fldChar w:fldCharType="end"/>
      </w:r>
      <w:r>
        <w:t>: Beispiel für empfohlene Auslegungskriterien für die Feuchte in Aufenthaltsbereichen bei installierten be- oder Entfeuchtungsanlagen</w:t>
      </w:r>
    </w:p>
    <w:p w:rsidR="001C1606" w:rsidRPr="006F1524" w:rsidRDefault="004C15FD" w:rsidP="0061240B">
      <w:pPr>
        <w:jc w:val="center"/>
      </w:pPr>
      <w:r w:rsidRPr="006F1524">
        <w:rPr>
          <w:noProof/>
          <w:lang w:val="de-AT" w:eastAsia="de-AT"/>
        </w:rPr>
        <w:drawing>
          <wp:inline distT="0" distB="0" distL="0" distR="0" wp14:anchorId="624B4E41" wp14:editId="7E05F0BF">
            <wp:extent cx="4953154" cy="1493094"/>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17095"/>
                    <a:stretch/>
                  </pic:blipFill>
                  <pic:spPr bwMode="auto">
                    <a:xfrm>
                      <a:off x="0" y="0"/>
                      <a:ext cx="4970333" cy="1498273"/>
                    </a:xfrm>
                    <a:prstGeom prst="rect">
                      <a:avLst/>
                    </a:prstGeom>
                    <a:ln>
                      <a:noFill/>
                    </a:ln>
                    <a:extLst>
                      <a:ext uri="{53640926-AAD7-44D8-BBD7-CCE9431645EC}">
                        <a14:shadowObscured xmlns:a14="http://schemas.microsoft.com/office/drawing/2010/main"/>
                      </a:ext>
                    </a:extLst>
                  </pic:spPr>
                </pic:pic>
              </a:graphicData>
            </a:graphic>
          </wp:inline>
        </w:drawing>
      </w:r>
    </w:p>
    <w:p w:rsidR="00CB4807" w:rsidRPr="006F1524" w:rsidRDefault="00CB4807" w:rsidP="00207BFF">
      <w:pPr>
        <w:pStyle w:val="berschrift6"/>
      </w:pPr>
      <w:r w:rsidRPr="006F1524">
        <w:t>Anhang F</w:t>
      </w:r>
      <w:r w:rsidR="004C15FD" w:rsidRPr="006F1524">
        <w:t xml:space="preserve"> Langzeitbewertung der allgemeinen thermischen Behaglichkeitsbedingungen</w:t>
      </w:r>
    </w:p>
    <w:p w:rsidR="004C15FD" w:rsidRPr="006F1524" w:rsidRDefault="004C15FD" w:rsidP="00BF0A4A">
      <w:pPr>
        <w:jc w:val="both"/>
      </w:pPr>
      <w:r w:rsidRPr="006F1524">
        <w:t>Um die Behaglichkeitsbedingungen über bestimmte Zeiträume (Jahreszeit, Jahr) bewerten zu können, muss eine Summierung von Parametern auf Grundlage der in realen Gebäuden gemessenen oder in dynamischen Computersimulationen ermittelten Daten durchgeführt werden. Dieser Anhang führt fünf Verfahren auf, die für diesen Zweck angewendet werden können.</w:t>
      </w:r>
    </w:p>
    <w:p w:rsidR="004C15FD" w:rsidRPr="006F1524" w:rsidRDefault="004C15FD" w:rsidP="00207BFF">
      <w:pPr>
        <w:pStyle w:val="berschrift7"/>
      </w:pPr>
      <w:r w:rsidRPr="006F1524">
        <w:t>Verfahren A – Prozentsatz außerhalb des Bereichs:</w:t>
      </w:r>
    </w:p>
    <w:p w:rsidR="004C15FD" w:rsidRPr="006F1524" w:rsidRDefault="004C15FD" w:rsidP="00BF0A4A">
      <w:pPr>
        <w:jc w:val="both"/>
      </w:pPr>
      <w:r w:rsidRPr="006F1524">
        <w:t>Es ist eine Anzahl oder der Prozentsatz der Stunden während der Belegungs- bzw. Nutzungszeit des Gebäudes zu berechnen, in denen das PMV oder die operative Temperatur außerhalb des dafür festgelegten Bereichs liegt.</w:t>
      </w:r>
    </w:p>
    <w:p w:rsidR="004C15FD" w:rsidRPr="006F1524" w:rsidRDefault="004C15FD" w:rsidP="00207BFF">
      <w:pPr>
        <w:pStyle w:val="berschrift7"/>
      </w:pPr>
      <w:r w:rsidRPr="006F1524">
        <w:t>Verfahren B – Gradstunden-Kriterien:</w:t>
      </w:r>
    </w:p>
    <w:p w:rsidR="004C15FD" w:rsidRPr="006F1524" w:rsidRDefault="004C15FD" w:rsidP="00BF0A4A">
      <w:pPr>
        <w:jc w:val="both"/>
      </w:pPr>
      <w:r w:rsidRPr="006F1524">
        <w:t>Die Zeit, während der die tatsächliche operative Temperatur in den Belegungs- bzw. Nutzungsstunden außerhalb des festgelegten Bereichs liegt, wird durch Multiplikation mit deinem Faktor gewichtet, der eine Funktion der Gerade ist, mit denen die Bereichsgrenzen unter- oder überschritten werden.</w:t>
      </w:r>
    </w:p>
    <w:p w:rsidR="004C15FD" w:rsidRPr="006F1524" w:rsidRDefault="004C15FD" w:rsidP="004E7D46">
      <w:r w:rsidRPr="006F1524">
        <w:rPr>
          <w:noProof/>
          <w:lang w:val="de-AT" w:eastAsia="de-AT"/>
        </w:rPr>
        <w:drawing>
          <wp:inline distT="0" distB="0" distL="0" distR="0" wp14:anchorId="44F1C71F" wp14:editId="0A70D425">
            <wp:extent cx="5162411" cy="3474720"/>
            <wp:effectExtent l="0" t="0" r="635"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168928" cy="3479106"/>
                    </a:xfrm>
                    <a:prstGeom prst="rect">
                      <a:avLst/>
                    </a:prstGeom>
                  </pic:spPr>
                </pic:pic>
              </a:graphicData>
            </a:graphic>
          </wp:inline>
        </w:drawing>
      </w:r>
    </w:p>
    <w:p w:rsidR="004C15FD" w:rsidRPr="006F1524" w:rsidRDefault="004C15FD" w:rsidP="00207BFF">
      <w:pPr>
        <w:pStyle w:val="berschrift7"/>
      </w:pPr>
      <w:r w:rsidRPr="006F1524">
        <w:t>Verfahren C – PPD-gewichtete Kriterien:</w:t>
      </w:r>
    </w:p>
    <w:p w:rsidR="004C15FD" w:rsidRPr="006F1524" w:rsidRDefault="004C15FD" w:rsidP="004E7D46">
      <w:r w:rsidRPr="006F1524">
        <w:t>Die Zeit, während der das tatsächliche PMV die Behaglichkeitsgrenzen überschreitet, wird durch Multiplikation mit einem Faktor gewichtet, der eine Funktion des PPD ist. Ausgehend von einer PMV-Verteilung auf jährlicher Basis und der Beziehung zwischen PMV und PPD wird folgendes berechnet:</w:t>
      </w:r>
    </w:p>
    <w:p w:rsidR="004C15FD" w:rsidRPr="006F1524" w:rsidRDefault="004C15FD" w:rsidP="004E7D46">
      <w:r w:rsidRPr="006F1524">
        <w:rPr>
          <w:noProof/>
          <w:lang w:val="de-AT" w:eastAsia="de-AT"/>
        </w:rPr>
        <w:drawing>
          <wp:inline distT="0" distB="0" distL="0" distR="0" wp14:anchorId="258747CA" wp14:editId="51D9DAA3">
            <wp:extent cx="5167728" cy="5371558"/>
            <wp:effectExtent l="0" t="0" r="0" b="63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170726" cy="5374675"/>
                    </a:xfrm>
                    <a:prstGeom prst="rect">
                      <a:avLst/>
                    </a:prstGeom>
                  </pic:spPr>
                </pic:pic>
              </a:graphicData>
            </a:graphic>
          </wp:inline>
        </w:drawing>
      </w:r>
    </w:p>
    <w:p w:rsidR="004C15FD" w:rsidRPr="006F1524" w:rsidRDefault="004C15FD" w:rsidP="004E7D46"/>
    <w:p w:rsidR="0061240B" w:rsidRDefault="0061240B" w:rsidP="0061240B">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13</w:t>
      </w:r>
      <w:r w:rsidR="0057391F">
        <w:rPr>
          <w:noProof/>
        </w:rPr>
        <w:fldChar w:fldCharType="end"/>
      </w:r>
      <w:r>
        <w:t>: Beispiele für auf der Temperaturdifferenz oder dem Vorausgesagten Prozentsatz Unzufriedener (PPD) beruhende Gewichtungsfaktoren für maschinell geheizte oder gekühlte Gebäude entsprechend den im Text dargelegten Annahmen (Tabelle F.1)</w:t>
      </w:r>
    </w:p>
    <w:p w:rsidR="004C15FD" w:rsidRPr="006F1524" w:rsidRDefault="004C15FD" w:rsidP="0061240B">
      <w:pPr>
        <w:jc w:val="center"/>
      </w:pPr>
      <w:r w:rsidRPr="006F1524">
        <w:rPr>
          <w:noProof/>
          <w:lang w:val="de-AT" w:eastAsia="de-AT"/>
        </w:rPr>
        <w:drawing>
          <wp:inline distT="0" distB="0" distL="0" distR="0" wp14:anchorId="2DA57948" wp14:editId="402A7F5F">
            <wp:extent cx="3727395" cy="2313829"/>
            <wp:effectExtent l="0" t="0" r="698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t="19685"/>
                    <a:stretch/>
                  </pic:blipFill>
                  <pic:spPr bwMode="auto">
                    <a:xfrm>
                      <a:off x="0" y="0"/>
                      <a:ext cx="3728000" cy="2314205"/>
                    </a:xfrm>
                    <a:prstGeom prst="rect">
                      <a:avLst/>
                    </a:prstGeom>
                    <a:ln>
                      <a:noFill/>
                    </a:ln>
                    <a:extLst>
                      <a:ext uri="{53640926-AAD7-44D8-BBD7-CCE9431645EC}">
                        <a14:shadowObscured xmlns:a14="http://schemas.microsoft.com/office/drawing/2010/main"/>
                      </a:ext>
                    </a:extLst>
                  </pic:spPr>
                </pic:pic>
              </a:graphicData>
            </a:graphic>
          </wp:inline>
        </w:drawing>
      </w:r>
    </w:p>
    <w:p w:rsidR="004C15FD" w:rsidRPr="006F1524" w:rsidRDefault="004C15FD" w:rsidP="0061240B">
      <w:pPr>
        <w:jc w:val="center"/>
      </w:pPr>
      <w:r w:rsidRPr="006F1524">
        <w:rPr>
          <w:noProof/>
          <w:lang w:val="de-AT" w:eastAsia="de-AT"/>
        </w:rPr>
        <w:drawing>
          <wp:inline distT="0" distB="0" distL="0" distR="0" wp14:anchorId="39652C8A" wp14:editId="796A797B">
            <wp:extent cx="2981740" cy="2283380"/>
            <wp:effectExtent l="0" t="0" r="0" b="317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980608" cy="2282513"/>
                    </a:xfrm>
                    <a:prstGeom prst="rect">
                      <a:avLst/>
                    </a:prstGeom>
                  </pic:spPr>
                </pic:pic>
              </a:graphicData>
            </a:graphic>
          </wp:inline>
        </w:drawing>
      </w:r>
    </w:p>
    <w:p w:rsidR="00CB4807" w:rsidRPr="006F1524" w:rsidRDefault="00CB4807" w:rsidP="004E7D46"/>
    <w:p w:rsidR="004C15FD" w:rsidRPr="006F1524" w:rsidRDefault="00CB4807" w:rsidP="00207BFF">
      <w:pPr>
        <w:pStyle w:val="berschrift6"/>
      </w:pPr>
      <w:r w:rsidRPr="006F1524">
        <w:t>Anhang G</w:t>
      </w:r>
      <w:r w:rsidR="004C15FD" w:rsidRPr="006F1524">
        <w:t xml:space="preserve"> – Empfohlene Kriterien für zulässige Abweichungen</w:t>
      </w:r>
      <w:r w:rsidR="00C2793C" w:rsidRPr="006F1524">
        <w:t xml:space="preserve"> DIN EN 15251</w:t>
      </w:r>
    </w:p>
    <w:p w:rsidR="00BF0A4A" w:rsidRDefault="00BF0A4A" w:rsidP="00207BFF">
      <w:pPr>
        <w:pStyle w:val="berschrift7"/>
      </w:pPr>
      <w:r>
        <w:t>G.1 Gebäudekategorie</w:t>
      </w:r>
    </w:p>
    <w:p w:rsidR="00BF0A4A" w:rsidRDefault="00BF0A4A" w:rsidP="0061240B">
      <w:pPr>
        <w:jc w:val="both"/>
      </w:pPr>
      <w:r>
        <w:t>Die unterschiedlichen Parameter für das Raumklima des Gebäudes erfüllen im folgenden Fall die Kriterien</w:t>
      </w:r>
      <w:r w:rsidR="0061240B">
        <w:t xml:space="preserve"> </w:t>
      </w:r>
      <w:r>
        <w:t>einer bestimmten Kategorie.</w:t>
      </w:r>
    </w:p>
    <w:p w:rsidR="00BF0A4A" w:rsidRDefault="00BF0A4A" w:rsidP="0061240B">
      <w:pPr>
        <w:jc w:val="both"/>
      </w:pPr>
      <w:r>
        <w:t>Der Parameter in den Räumen, die 95 % des Aufenthaltsbereiches darstellen, weicht um nicht mehr als z. B.</w:t>
      </w:r>
      <w:r w:rsidR="0061240B">
        <w:t xml:space="preserve"> </w:t>
      </w:r>
      <w:r>
        <w:t>3 % (oder 5 %) der Belegungsstunden am Tag, in der Woche, im Monat oder Jahr von den Grenzwerten der entsprechenden Kategorie (Anhänge A und B) ab.</w:t>
      </w:r>
    </w:p>
    <w:p w:rsidR="00BF0A4A" w:rsidRDefault="00BF0A4A" w:rsidP="0061240B">
      <w:pPr>
        <w:jc w:val="both"/>
      </w:pPr>
      <w:r>
        <w:t>Beispiele für Verfahren zur Bewertung der langfristigen Effizienz von Gebäuden sind in Anhang F angegeben.</w:t>
      </w:r>
    </w:p>
    <w:p w:rsidR="00BF0A4A" w:rsidRDefault="00BF0A4A" w:rsidP="00207BFF">
      <w:pPr>
        <w:pStyle w:val="berschrift7"/>
      </w:pPr>
      <w:r>
        <w:t>G.2 Dauer der Abweichung</w:t>
      </w:r>
    </w:p>
    <w:p w:rsidR="00BF0A4A" w:rsidRDefault="00BF0A4A" w:rsidP="00BF0A4A">
      <w:r>
        <w:t>Die folgende Tabelle zeigt die Zeit, die einer Abweichung von 3 % (oder 5 %) entspricht, beruhend auf Arbeitsstunden und den Stunden insgesamt.</w:t>
      </w:r>
    </w:p>
    <w:p w:rsidR="0061240B" w:rsidRDefault="0061240B" w:rsidP="0061240B">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14</w:t>
      </w:r>
      <w:r w:rsidR="0057391F">
        <w:rPr>
          <w:noProof/>
        </w:rPr>
        <w:fldChar w:fldCharType="end"/>
      </w:r>
      <w:r>
        <w:t>: Beispiele für die Dauer der Abweichungen, die 3 % bzw 5 % der Zeit entsprechen (Tabelle G.1)</w:t>
      </w:r>
    </w:p>
    <w:p w:rsidR="00BF0A4A" w:rsidRDefault="00BF0A4A" w:rsidP="0061240B">
      <w:pPr>
        <w:jc w:val="center"/>
        <w:rPr>
          <w:highlight w:val="yellow"/>
        </w:rPr>
      </w:pPr>
      <w:r>
        <w:rPr>
          <w:noProof/>
          <w:lang w:val="de-AT" w:eastAsia="de-AT"/>
        </w:rPr>
        <w:drawing>
          <wp:inline distT="0" distB="0" distL="0" distR="0" wp14:anchorId="0F4E5ACC" wp14:editId="522E1B90">
            <wp:extent cx="3909604" cy="851727"/>
            <wp:effectExtent l="0" t="0" r="0" b="571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11076" t="43043" r="58835" b="35979"/>
                    <a:stretch/>
                  </pic:blipFill>
                  <pic:spPr bwMode="auto">
                    <a:xfrm>
                      <a:off x="0" y="0"/>
                      <a:ext cx="3922484" cy="854533"/>
                    </a:xfrm>
                    <a:prstGeom prst="rect">
                      <a:avLst/>
                    </a:prstGeom>
                    <a:ln>
                      <a:noFill/>
                    </a:ln>
                    <a:extLst>
                      <a:ext uri="{53640926-AAD7-44D8-BBD7-CCE9431645EC}">
                        <a14:shadowObscured xmlns:a14="http://schemas.microsoft.com/office/drawing/2010/main"/>
                      </a:ext>
                    </a:extLst>
                  </pic:spPr>
                </pic:pic>
              </a:graphicData>
            </a:graphic>
          </wp:inline>
        </w:drawing>
      </w:r>
    </w:p>
    <w:p w:rsidR="00BF0A4A" w:rsidRPr="00CB4807" w:rsidRDefault="00BF0A4A" w:rsidP="00BF0A4A">
      <w:pPr>
        <w:jc w:val="both"/>
        <w:rPr>
          <w:highlight w:val="yellow"/>
        </w:rPr>
      </w:pPr>
      <w:r>
        <w:t>Dies ermöglicht kurzzeitige Abweichungen, z. B. beim Öffnen von Fenstern, bei denen kurzzeitig erhöhte Luftgeschwindigkeiten und Lärm zulässig sind. So sind zum Beispiel innerhalb der 5 %-Abweichung Temperaturen zulässig, die das Kriterium von 108 h im Jahr überschreiten, jedoch nicht mehr als 24 min an einem Arbeitstag und 2 h während einer Arbeitswoche.</w:t>
      </w:r>
    </w:p>
    <w:p w:rsidR="00C2793C" w:rsidRPr="006F1524" w:rsidRDefault="00CB4807" w:rsidP="00207BFF">
      <w:pPr>
        <w:pStyle w:val="berschrift6"/>
      </w:pPr>
      <w:r w:rsidRPr="006F1524">
        <w:t>Anhang I</w:t>
      </w:r>
      <w:r w:rsidR="004C15FD" w:rsidRPr="006F1524">
        <w:t xml:space="preserve"> </w:t>
      </w:r>
      <w:r w:rsidR="00C2793C" w:rsidRPr="006F1524">
        <w:t>–</w:t>
      </w:r>
      <w:r w:rsidR="004C15FD" w:rsidRPr="006F1524">
        <w:t xml:space="preserve"> </w:t>
      </w:r>
      <w:r w:rsidR="00C2793C" w:rsidRPr="006F1524">
        <w:t>Beispiele für die Klassifizierung und Zertifizierung des Raumklimas (Seite 49) DIN EN 15251</w:t>
      </w:r>
    </w:p>
    <w:p w:rsidR="00BF0A4A" w:rsidRDefault="00BF0A4A" w:rsidP="00BF0A4A">
      <w:r>
        <w:t>Das Raumklima in einem Gebäude kann anhand folgender Aspekte klassifiziert werden:</w:t>
      </w:r>
    </w:p>
    <w:p w:rsidR="00BF0A4A" w:rsidRDefault="00BF0A4A" w:rsidP="00BF0A4A">
      <w:r>
        <w:t>a) bei den Energieberechnungen angewendeten Kriterien (Neubauten);</w:t>
      </w:r>
    </w:p>
    <w:p w:rsidR="00BF0A4A" w:rsidRDefault="00BF0A4A" w:rsidP="00BF0A4A">
      <w:r>
        <w:t>b) ganzjährige Computersimulationen des Raumklimas und der Energieeffizienz (Neu- und Bestandsbauten);</w:t>
      </w:r>
    </w:p>
    <w:p w:rsidR="00BF0A4A" w:rsidRDefault="00BF0A4A" w:rsidP="00BF0A4A">
      <w:r>
        <w:t>c) Langzeitmessungen ausgewählter Parameter für das Raumklima (Bestandsbauten);</w:t>
      </w:r>
    </w:p>
    <w:p w:rsidR="00BF0A4A" w:rsidRDefault="00BF0A4A" w:rsidP="00BF0A4A">
      <w:r>
        <w:t>d) subjektive Einschätzungen der Nutzer (Bestandsbauten).</w:t>
      </w:r>
    </w:p>
    <w:p w:rsidR="00BF0A4A" w:rsidRDefault="00BF0A4A" w:rsidP="00207BFF">
      <w:pPr>
        <w:pStyle w:val="berschrift7"/>
      </w:pPr>
      <w:r>
        <w:t>I.1 Angewendete Auslegungskriterien</w:t>
      </w:r>
    </w:p>
    <w:p w:rsidR="00CB4807" w:rsidRDefault="00BF0A4A" w:rsidP="00BF0A4A">
      <w:pPr>
        <w:jc w:val="both"/>
      </w:pPr>
      <w:r>
        <w:t>Die Klassifizierung erfolgt durch Erstellen einer Tabelle mit den bei den Energieberechnungen angewendeten Kriterien, wie in dem in Tabelle I.1 aufgeführten Beispiel gezeigt.</w:t>
      </w:r>
    </w:p>
    <w:p w:rsidR="0061240B" w:rsidRDefault="0061240B" w:rsidP="0061240B">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15</w:t>
      </w:r>
      <w:r w:rsidR="0057391F">
        <w:rPr>
          <w:noProof/>
        </w:rPr>
        <w:fldChar w:fldCharType="end"/>
      </w:r>
      <w:r>
        <w:t>: Klassifizierung auf der Grundlage von Kriterien der Energieberechnungen (Tabelle I.1)</w:t>
      </w:r>
    </w:p>
    <w:p w:rsidR="00BF0A4A" w:rsidRDefault="00BF0A4A" w:rsidP="0061240B">
      <w:pPr>
        <w:jc w:val="center"/>
      </w:pPr>
      <w:r>
        <w:rPr>
          <w:noProof/>
          <w:lang w:val="de-AT" w:eastAsia="de-AT"/>
        </w:rPr>
        <w:drawing>
          <wp:inline distT="0" distB="0" distL="0" distR="0" wp14:anchorId="4CE9B9A6" wp14:editId="11F53F02">
            <wp:extent cx="4621848" cy="1630017"/>
            <wp:effectExtent l="0" t="0" r="7620" b="889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5787" t="31687" r="53379" b="22222"/>
                    <a:stretch/>
                  </pic:blipFill>
                  <pic:spPr bwMode="auto">
                    <a:xfrm>
                      <a:off x="0" y="0"/>
                      <a:ext cx="4629921" cy="1632864"/>
                    </a:xfrm>
                    <a:prstGeom prst="rect">
                      <a:avLst/>
                    </a:prstGeom>
                    <a:ln>
                      <a:noFill/>
                    </a:ln>
                    <a:extLst>
                      <a:ext uri="{53640926-AAD7-44D8-BBD7-CCE9431645EC}">
                        <a14:shadowObscured xmlns:a14="http://schemas.microsoft.com/office/drawing/2010/main"/>
                      </a:ext>
                    </a:extLst>
                  </pic:spPr>
                </pic:pic>
              </a:graphicData>
            </a:graphic>
          </wp:inline>
        </w:drawing>
      </w:r>
    </w:p>
    <w:p w:rsidR="00BF0A4A" w:rsidRDefault="00BF0A4A" w:rsidP="00207BFF">
      <w:pPr>
        <w:pStyle w:val="berschrift7"/>
      </w:pPr>
      <w:r>
        <w:t>I.2 Ganzjahrescomputersimulation des Raumklimas und der Energieeffizienz</w:t>
      </w:r>
    </w:p>
    <w:p w:rsidR="004E7D46" w:rsidRDefault="00BF0A4A" w:rsidP="00BF0A4A">
      <w:pPr>
        <w:jc w:val="both"/>
      </w:pPr>
      <w:r>
        <w:t>Durch dynamische Computersimulationen können für repräsentative Räume in einem Gebäude die Raumtemperaturen, Lüftungsraten und/oder CO2-Konzentrationen berechnet werden. Anschließend wird berechnet, wie die Temperaturen über die 4 Kategorien verteilt sind. Dies erfolgt durch Gewichtung des Mittelwertes einer Grundfläche von 95 % der Räume im Gebäude. Ein Beispiel ist in Bild I.1 enthalten.</w:t>
      </w:r>
    </w:p>
    <w:p w:rsidR="0061240B" w:rsidRDefault="00BF0A4A" w:rsidP="0061240B">
      <w:pPr>
        <w:keepNext/>
        <w:jc w:val="center"/>
      </w:pPr>
      <w:r>
        <w:rPr>
          <w:noProof/>
          <w:lang w:val="de-AT" w:eastAsia="de-AT"/>
        </w:rPr>
        <w:drawing>
          <wp:inline distT="0" distB="0" distL="0" distR="0" wp14:anchorId="3BACBCC0" wp14:editId="6CD1E405">
            <wp:extent cx="3424246" cy="1119777"/>
            <wp:effectExtent l="0" t="0" r="5080" b="444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7356" t="22222" r="60618" b="44260"/>
                    <a:stretch/>
                  </pic:blipFill>
                  <pic:spPr bwMode="auto">
                    <a:xfrm>
                      <a:off x="0" y="0"/>
                      <a:ext cx="3425369" cy="1120144"/>
                    </a:xfrm>
                    <a:prstGeom prst="rect">
                      <a:avLst/>
                    </a:prstGeom>
                    <a:ln>
                      <a:noFill/>
                    </a:ln>
                    <a:extLst>
                      <a:ext uri="{53640926-AAD7-44D8-BBD7-CCE9431645EC}">
                        <a14:shadowObscured xmlns:a14="http://schemas.microsoft.com/office/drawing/2010/main"/>
                      </a:ext>
                    </a:extLst>
                  </pic:spPr>
                </pic:pic>
              </a:graphicData>
            </a:graphic>
          </wp:inline>
        </w:drawing>
      </w:r>
    </w:p>
    <w:p w:rsidR="00BF0A4A" w:rsidRPr="004E7D46" w:rsidRDefault="0061240B" w:rsidP="0061240B">
      <w:pPr>
        <w:pStyle w:val="Beschriftung"/>
      </w:pPr>
      <w:r>
        <w:t xml:space="preserve">Abbildung </w:t>
      </w:r>
      <w:r w:rsidR="0057391F">
        <w:fldChar w:fldCharType="begin"/>
      </w:r>
      <w:r w:rsidR="0057391F">
        <w:instrText xml:space="preserve"> SEQ Abbildung \* ARABIC </w:instrText>
      </w:r>
      <w:r w:rsidR="0057391F">
        <w:fldChar w:fldCharType="separate"/>
      </w:r>
      <w:r w:rsidR="00C10B8B">
        <w:rPr>
          <w:noProof/>
        </w:rPr>
        <w:t>7</w:t>
      </w:r>
      <w:r w:rsidR="0057391F">
        <w:rPr>
          <w:noProof/>
        </w:rPr>
        <w:fldChar w:fldCharType="end"/>
      </w:r>
      <w:r>
        <w:t>: Beispiel für die Klassifizierung des thermischen Raumklimas und der Raumluftqualität/Lüftung. Die Verteilung über die verschiedenen Kategorien wird nach Grundfläche der verschiedenen Räume im Gebäude gewichtet (Bild I.1)</w:t>
      </w:r>
    </w:p>
    <w:p w:rsidR="00BF0A4A" w:rsidRDefault="00BF0A4A" w:rsidP="00207BFF">
      <w:pPr>
        <w:pStyle w:val="berschrift7"/>
      </w:pPr>
      <w:r>
        <w:t>I.3 Langzeitmessung ausgewählter Parameter des Raumklimas</w:t>
      </w:r>
    </w:p>
    <w:p w:rsidR="00BF0A4A" w:rsidRDefault="00BF0A4A" w:rsidP="00BF0A4A">
      <w:pPr>
        <w:jc w:val="both"/>
      </w:pPr>
      <w:r>
        <w:t>Raumklimaparameter wie Raumtemperatur, Lüftungsrate oder CO2-Konzentration werden in repräsentativen Abständen über das gesamte Jahr oder repräsentative Zeiträume gemessen. Die Daten werden auf die gleiche Weise ausgewertet wie in I.2 für berechnete Werte beschrieben und ebenso dargestellt (Bild I.1).</w:t>
      </w:r>
    </w:p>
    <w:p w:rsidR="00BF0A4A" w:rsidRDefault="00BF0A4A" w:rsidP="00207BFF">
      <w:pPr>
        <w:pStyle w:val="berschrift7"/>
      </w:pPr>
      <w:r>
        <w:t>I.4 Subjektive Bewertung durch die Gebäudenutzer</w:t>
      </w:r>
    </w:p>
    <w:p w:rsidR="00CC09A4" w:rsidRDefault="00BF0A4A" w:rsidP="00BF0A4A">
      <w:pPr>
        <w:jc w:val="both"/>
      </w:pPr>
      <w:r>
        <w:t>Die Nutzer werden zu repräsentativen Zeitpunkten im Jahr (Winter-Frühjahr-Sommer-Herbst) gebeten, unter Verwendung der in Anhang H empfohlenen Skalen Fragebögen auszufüllen. Der Prozentsatz der Personen, die das thermische Raumklima und die Luftqualität als annehmbar bewerten, wird für jeden der repräsentativen Räume des Gebäudes berechnet. Ein gewichteter Mittelwert entsprechend der Anzahl der Personen in den unterschiedlichen Räumen wird berechnet und für die Klassifizierung verwendet. Es können auch weitere Einzelheiten angegeben werden durch Darstellung der Voten auf der 7-Punkte-Skal</w:t>
      </w:r>
      <w:r w:rsidR="00C23962">
        <w:t>a</w:t>
      </w:r>
      <w:r>
        <w:t xml:space="preserve"> des thermischen Empfindens und Angabe des Prozentsatzes der Personen, die sich eine höhere, die gleiche oder eine niedrigere Raumtemperatur wünschen. Die Ergebnisse können entsprechend Tabelle I.2 dargestellt werden.</w:t>
      </w:r>
    </w:p>
    <w:p w:rsidR="0061240B" w:rsidRDefault="0061240B" w:rsidP="0061240B">
      <w:pPr>
        <w:pStyle w:val="Beschriftung"/>
        <w:keepNext/>
      </w:pPr>
      <w:r>
        <w:t xml:space="preserve">Tabelle </w:t>
      </w:r>
      <w:r w:rsidR="0057391F">
        <w:fldChar w:fldCharType="begin"/>
      </w:r>
      <w:r w:rsidR="0057391F">
        <w:instrText xml:space="preserve"> SEQ Tabelle \* ARABIC </w:instrText>
      </w:r>
      <w:r w:rsidR="0057391F">
        <w:fldChar w:fldCharType="separate"/>
      </w:r>
      <w:r w:rsidR="00C10B8B">
        <w:rPr>
          <w:noProof/>
        </w:rPr>
        <w:t>16</w:t>
      </w:r>
      <w:r w:rsidR="0057391F">
        <w:rPr>
          <w:noProof/>
        </w:rPr>
        <w:fldChar w:fldCharType="end"/>
      </w:r>
      <w:r>
        <w:t>: Beispiele der Nutzung subjektiver Bewertungen zur Klassifizierung des Raumklimas (Tabelle I.2)</w:t>
      </w:r>
    </w:p>
    <w:p w:rsidR="00CC09A4" w:rsidRDefault="00BF0A4A" w:rsidP="0061240B">
      <w:pPr>
        <w:jc w:val="center"/>
      </w:pPr>
      <w:r>
        <w:rPr>
          <w:noProof/>
          <w:lang w:val="de-AT" w:eastAsia="de-AT"/>
        </w:rPr>
        <w:drawing>
          <wp:inline distT="0" distB="0" distL="0" distR="0" wp14:anchorId="12A09121" wp14:editId="676B2181">
            <wp:extent cx="4611757" cy="1948069"/>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811" t="31425" r="56248" b="13227"/>
                    <a:stretch/>
                  </pic:blipFill>
                  <pic:spPr bwMode="auto">
                    <a:xfrm>
                      <a:off x="0" y="0"/>
                      <a:ext cx="4622481" cy="1952599"/>
                    </a:xfrm>
                    <a:prstGeom prst="rect">
                      <a:avLst/>
                    </a:prstGeom>
                    <a:ln>
                      <a:noFill/>
                    </a:ln>
                    <a:extLst>
                      <a:ext uri="{53640926-AAD7-44D8-BBD7-CCE9431645EC}">
                        <a14:shadowObscured xmlns:a14="http://schemas.microsoft.com/office/drawing/2010/main"/>
                      </a:ext>
                    </a:extLst>
                  </pic:spPr>
                </pic:pic>
              </a:graphicData>
            </a:graphic>
          </wp:inline>
        </w:drawing>
      </w:r>
    </w:p>
    <w:p w:rsidR="00C10B8B" w:rsidRPr="009B2979" w:rsidRDefault="00C10B8B" w:rsidP="00C10B8B">
      <w:pPr>
        <w:pStyle w:val="berschrift5"/>
        <w:rPr>
          <w:highlight w:val="yellow"/>
        </w:rPr>
      </w:pPr>
      <w:r w:rsidRPr="009B2979">
        <w:rPr>
          <w:highlight w:val="yellow"/>
        </w:rPr>
        <w:t xml:space="preserve">DIN EN ISO 13791 Wärmetechnisches Verhalten von Gebäuden – Sommerliche Raumtemperaturen bei Gebäuden ohne Anlagentechnik – Allgemeine Kriterien und Validierungsverfahren </w:t>
      </w:r>
      <w:r w:rsidRPr="009B2979">
        <w:rPr>
          <w:highlight w:val="yellow"/>
        </w:rPr>
        <w:fldChar w:fldCharType="begin"/>
      </w:r>
      <w:r w:rsidRPr="009B2979">
        <w:rPr>
          <w:highlight w:val="yellow"/>
        </w:rPr>
        <w:instrText xml:space="preserve"> ADDIN EN.CITE &lt;EndNote&gt;&lt;Cite&gt;&lt;Author&gt;ISO&lt;/Author&gt;&lt;Year&gt;2012&lt;/Year&gt;&lt;RecNum&gt;11417&lt;/RecNum&gt;&lt;DisplayText&gt;(ISO, 2012)&lt;/DisplayText&gt;&lt;record&gt;&lt;rec-number&gt;11417&lt;/rec-number&gt;&lt;foreign-keys&gt;&lt;key app="EN" db-id="zxrx2rspbdeppzeza5fv0e03vdwxr5svazdr" timestamp="1455804566"&gt;11417&lt;/key&gt;&lt;key app="ENWeb" db-id=""&gt;0&lt;/key&gt;&lt;/foreign-keys&gt;&lt;ref-type name="Journal Article"&gt;17&lt;/ref-type&gt;&lt;contributors&gt;&lt;authors&gt;&lt;author&gt;DIN EN ISO&lt;/author&gt;&lt;/authors&gt;&lt;/contributors&gt;&lt;titles&gt;&lt;title&gt;DIN EN ISO 13791 Wärmetechnisches Verhalten von Gebäuden – Sommerliche Raumtemperaturen bei Gebäuden ohne Anlagentechnik – Allgemeine Kriterien und Validierungsverfahren&lt;/title&gt;&lt;/titles&gt;&lt;dates&gt;&lt;year&gt;2012&lt;/year&gt;&lt;/dates&gt;&lt;urls&gt;&lt;/urls&gt;&lt;/record&gt;&lt;/Cite&gt;&lt;/EndNote&gt;</w:instrText>
      </w:r>
      <w:r w:rsidRPr="009B2979">
        <w:rPr>
          <w:highlight w:val="yellow"/>
        </w:rPr>
        <w:fldChar w:fldCharType="separate"/>
      </w:r>
      <w:r w:rsidRPr="009B2979">
        <w:rPr>
          <w:noProof/>
          <w:highlight w:val="yellow"/>
        </w:rPr>
        <w:t>(</w:t>
      </w:r>
      <w:hyperlink w:anchor="_ENREF_9" w:tooltip="ISO, 2012 #11417" w:history="1">
        <w:r w:rsidR="00C64325" w:rsidRPr="009B2979">
          <w:rPr>
            <w:noProof/>
            <w:highlight w:val="yellow"/>
          </w:rPr>
          <w:t>ISO, 2012</w:t>
        </w:r>
      </w:hyperlink>
      <w:r w:rsidRPr="009B2979">
        <w:rPr>
          <w:noProof/>
          <w:highlight w:val="yellow"/>
        </w:rPr>
        <w:t>)</w:t>
      </w:r>
      <w:r w:rsidRPr="009B2979">
        <w:rPr>
          <w:highlight w:val="yellow"/>
        </w:rPr>
        <w:fldChar w:fldCharType="end"/>
      </w:r>
      <w:r w:rsidR="00502DA5">
        <w:rPr>
          <w:highlight w:val="yellow"/>
        </w:rPr>
        <w:t xml:space="preserve"> </w:t>
      </w:r>
      <w:r w:rsidR="00502DA5" w:rsidRPr="00502DA5">
        <w:rPr>
          <w:highlight w:val="yellow"/>
        </w:rPr>
        <w:sym w:font="Wingdings" w:char="F0E0"/>
      </w:r>
      <w:r w:rsidR="00502DA5">
        <w:rPr>
          <w:highlight w:val="yellow"/>
        </w:rPr>
        <w:t xml:space="preserve"> zur Methodik</w:t>
      </w:r>
    </w:p>
    <w:p w:rsidR="00C10B8B" w:rsidRPr="00C10B8B" w:rsidRDefault="00C10B8B" w:rsidP="00C10B8B">
      <w:pPr>
        <w:rPr>
          <w:highlight w:val="yellow"/>
        </w:rPr>
      </w:pPr>
    </w:p>
    <w:p w:rsidR="00C9375A" w:rsidRDefault="00C9375A" w:rsidP="00C9375A">
      <w:pPr>
        <w:pStyle w:val="berschrift4"/>
      </w:pPr>
      <w:r>
        <w:t>Bewertungskriterien Aufheiz- und Abkühlverhalten</w:t>
      </w:r>
    </w:p>
    <w:p w:rsidR="00112412" w:rsidRDefault="00C9375A" w:rsidP="00227358">
      <w:pPr>
        <w:pStyle w:val="Listenabsatz"/>
        <w:numPr>
          <w:ilvl w:val="0"/>
          <w:numId w:val="11"/>
        </w:numPr>
      </w:pPr>
      <w:r>
        <w:t>Nach welchem Kriterium und welchen Grenzwerten kann man hier beurteilen</w:t>
      </w:r>
      <w:r w:rsidR="00A85356">
        <w:t>?</w:t>
      </w:r>
    </w:p>
    <w:p w:rsidR="00112412" w:rsidRDefault="00112412" w:rsidP="0061240B"/>
    <w:p w:rsidR="0061240B" w:rsidRDefault="0061240B" w:rsidP="0061240B"/>
    <w:p w:rsidR="0061240B" w:rsidRDefault="0061240B" w:rsidP="0061240B"/>
    <w:p w:rsidR="0061240B" w:rsidRDefault="0061240B">
      <w:pPr>
        <w:spacing w:after="0" w:line="240" w:lineRule="auto"/>
      </w:pPr>
      <w:r>
        <w:br w:type="page"/>
      </w:r>
    </w:p>
    <w:p w:rsidR="0061240B" w:rsidRDefault="0061240B" w:rsidP="0061240B"/>
    <w:p w:rsidR="00C64325" w:rsidRPr="00C64325" w:rsidRDefault="00112412" w:rsidP="00C64325">
      <w:pPr>
        <w:pStyle w:val="EndNoteBibliography"/>
        <w:spacing w:after="0"/>
        <w:ind w:left="720" w:hanging="720"/>
      </w:pPr>
      <w:r>
        <w:fldChar w:fldCharType="begin"/>
      </w:r>
      <w:r>
        <w:instrText xml:space="preserve"> ADDIN EN.REFLIST </w:instrText>
      </w:r>
      <w:r>
        <w:fldChar w:fldCharType="separate"/>
      </w:r>
      <w:bookmarkStart w:id="11" w:name="_ENREF_1"/>
      <w:r w:rsidR="00C64325" w:rsidRPr="00C64325">
        <w:t>BRAUNSCHWEIG, T. Betriebsstrategien für EnergiePLUS-Gebäude am Beispiel der Berghalde.</w:t>
      </w:r>
      <w:bookmarkEnd w:id="11"/>
    </w:p>
    <w:p w:rsidR="00C64325" w:rsidRPr="00C64325" w:rsidRDefault="00C64325" w:rsidP="00C64325">
      <w:pPr>
        <w:pStyle w:val="EndNoteBibliography"/>
        <w:spacing w:after="0"/>
        <w:ind w:left="720" w:hanging="720"/>
      </w:pPr>
      <w:bookmarkStart w:id="12" w:name="_ENREF_2"/>
      <w:r w:rsidRPr="00C64325">
        <w:t>DIN 2010. DIN EN 15757 Erhaltung des kulturellen Erbes – Festlegungen für Temperatur und relative Luftfeuchte zur Begrenzung klimabedingter mechanischer Beschädigungen an organischen hygroskopischen Materialien.</w:t>
      </w:r>
      <w:bookmarkEnd w:id="12"/>
    </w:p>
    <w:p w:rsidR="00C64325" w:rsidRPr="00C64325" w:rsidRDefault="00C64325" w:rsidP="00C64325">
      <w:pPr>
        <w:pStyle w:val="EndNoteBibliography"/>
        <w:spacing w:after="0"/>
        <w:ind w:left="720" w:hanging="720"/>
      </w:pPr>
      <w:bookmarkStart w:id="13" w:name="_ENREF_3"/>
      <w:r w:rsidRPr="00C64325">
        <w:t>EN, D. 2007. DIN EN 15251 Eingangsparameter für das Raumklima zur Auslegung und Bewertung der Energieeffizienz von Gebäuden - Raumluftqualität, Temperatur, Licht und Akustik.</w:t>
      </w:r>
      <w:bookmarkEnd w:id="13"/>
    </w:p>
    <w:p w:rsidR="00C64325" w:rsidRPr="00C64325" w:rsidRDefault="00C64325" w:rsidP="00C64325">
      <w:pPr>
        <w:pStyle w:val="EndNoteBibliography"/>
        <w:spacing w:after="0"/>
        <w:ind w:left="720" w:hanging="720"/>
      </w:pPr>
      <w:bookmarkStart w:id="14" w:name="_ENREF_4"/>
      <w:r w:rsidRPr="00C64325">
        <w:t>EN, D. 2012. DIN EN 15759-1 Erhaltung des kulturellen Erbes – Raumklima – Teil 1: Leitfäden für die Beheizung von Andachtsstätten.</w:t>
      </w:r>
      <w:bookmarkEnd w:id="14"/>
    </w:p>
    <w:p w:rsidR="00C64325" w:rsidRPr="00C64325" w:rsidRDefault="00C64325" w:rsidP="00C64325">
      <w:pPr>
        <w:pStyle w:val="EndNoteBibliography"/>
        <w:spacing w:after="0"/>
        <w:ind w:left="720" w:hanging="720"/>
      </w:pPr>
      <w:bookmarkStart w:id="15" w:name="_ENREF_5"/>
      <w:r w:rsidRPr="00C64325">
        <w:t>EN, D. 2016. DIN EN 15759-2 Entwurf Erhaltung des kulturellen Erbes - Raumklima - Teil 2: Lüftung für den Schutz von Gebäuden und Sammlungen des kulturellen Erbes.</w:t>
      </w:r>
      <w:bookmarkEnd w:id="15"/>
    </w:p>
    <w:p w:rsidR="00C64325" w:rsidRPr="00C64325" w:rsidRDefault="00C64325" w:rsidP="00C64325">
      <w:pPr>
        <w:pStyle w:val="EndNoteBibliography"/>
        <w:spacing w:after="0"/>
        <w:ind w:left="720" w:hanging="720"/>
      </w:pPr>
      <w:bookmarkStart w:id="16" w:name="_ENREF_6"/>
      <w:r w:rsidRPr="00C64325">
        <w:t>FISCH, M. N. 2010. Neues Regionshaus Hannover.</w:t>
      </w:r>
      <w:bookmarkEnd w:id="16"/>
    </w:p>
    <w:p w:rsidR="00C64325" w:rsidRPr="00C64325" w:rsidRDefault="00C64325" w:rsidP="00C64325">
      <w:pPr>
        <w:pStyle w:val="EndNoteBibliography"/>
        <w:spacing w:after="0"/>
        <w:ind w:left="720" w:hanging="720"/>
      </w:pPr>
      <w:bookmarkStart w:id="17" w:name="_ENREF_7"/>
      <w:r w:rsidRPr="00C64325">
        <w:t>ISO, D. E. 2010. DIN EN ISO 10456 Baustoffe und Bauprodukte – Wärme- und feuchtetechnische Eigenschaften – Tabellierte Bemessungswerte und Verfahren zur Bestimmung der wärmeschutztechnischen Nenn- und Bemessungswerte.</w:t>
      </w:r>
      <w:bookmarkEnd w:id="17"/>
    </w:p>
    <w:p w:rsidR="00C64325" w:rsidRPr="00C64325" w:rsidRDefault="00C64325" w:rsidP="00C64325">
      <w:pPr>
        <w:pStyle w:val="EndNoteBibliography"/>
        <w:spacing w:after="0"/>
        <w:ind w:left="720" w:hanging="720"/>
      </w:pPr>
      <w:bookmarkStart w:id="18" w:name="_ENREF_8"/>
      <w:r w:rsidRPr="00C64325">
        <w:t>ISO, D. E. 2011. DIN EN ISO 13788 Wärme- und feuchtetechnisches Verhalten von Bauteilen und Bauelementen - Raumseitige Oberflächentemperatur zur Vermeidung kritischer Oberflächenfeuchte und Tauwasserbildung im Bauteilinneren - Berechnungsverfahren. DIN.</w:t>
      </w:r>
      <w:bookmarkEnd w:id="18"/>
    </w:p>
    <w:p w:rsidR="00C64325" w:rsidRPr="00C64325" w:rsidRDefault="00C64325" w:rsidP="00C64325">
      <w:pPr>
        <w:pStyle w:val="EndNoteBibliography"/>
        <w:spacing w:after="0"/>
        <w:ind w:left="720" w:hanging="720"/>
      </w:pPr>
      <w:bookmarkStart w:id="19" w:name="_ENREF_9"/>
      <w:r w:rsidRPr="00C64325">
        <w:t>ISO, D. E. 2012. DIN EN ISO 13791 Wärmetechnisches Verhalten von Gebäuden – Sommerliche Raumtemperaturen bei Gebäuden ohne Anlagentechnik – Allgemeine Kriterien und Validierungsverfahren.</w:t>
      </w:r>
      <w:bookmarkEnd w:id="19"/>
    </w:p>
    <w:p w:rsidR="00C64325" w:rsidRPr="00C64325" w:rsidRDefault="00C64325" w:rsidP="00C64325">
      <w:pPr>
        <w:pStyle w:val="EndNoteBibliography"/>
        <w:spacing w:after="0"/>
        <w:ind w:left="720" w:hanging="720"/>
      </w:pPr>
      <w:bookmarkStart w:id="20" w:name="_ENREF_10"/>
      <w:r w:rsidRPr="00C64325">
        <w:t xml:space="preserve">KINGMA, B. &amp; VAN MARKEN LICHTENBELT, W. 2015. </w:t>
      </w:r>
      <w:r w:rsidRPr="00C64325">
        <w:rPr>
          <w:lang w:val="en-US"/>
        </w:rPr>
        <w:t xml:space="preserve">Energy consumption in buildings and female thermal demand. </w:t>
      </w:r>
      <w:r w:rsidRPr="00C64325">
        <w:rPr>
          <w:i/>
        </w:rPr>
        <w:t>Nature Clim. Change,</w:t>
      </w:r>
      <w:r w:rsidRPr="00C64325">
        <w:t xml:space="preserve"> 5</w:t>
      </w:r>
      <w:r w:rsidRPr="00C64325">
        <w:rPr>
          <w:b/>
        </w:rPr>
        <w:t>,</w:t>
      </w:r>
      <w:r w:rsidRPr="00C64325">
        <w:t xml:space="preserve"> 1054-1056.</w:t>
      </w:r>
      <w:bookmarkEnd w:id="20"/>
    </w:p>
    <w:p w:rsidR="00C64325" w:rsidRPr="00C64325" w:rsidRDefault="00C64325" w:rsidP="00C64325">
      <w:pPr>
        <w:pStyle w:val="EndNoteBibliography"/>
        <w:spacing w:after="0"/>
        <w:ind w:left="720" w:hanging="720"/>
      </w:pPr>
      <w:bookmarkStart w:id="21" w:name="_ENREF_11"/>
      <w:r w:rsidRPr="00C64325">
        <w:t>ÖNORM 2003. ÖNorm B 8110-2 Wärmeschutz im Hochbau - Teil 2: Wasserdampfdiffusion und Kondensationsschutz.</w:t>
      </w:r>
      <w:bookmarkEnd w:id="21"/>
    </w:p>
    <w:p w:rsidR="00C64325" w:rsidRPr="00C64325" w:rsidRDefault="00C64325" w:rsidP="00C64325">
      <w:pPr>
        <w:pStyle w:val="EndNoteBibliography"/>
        <w:ind w:left="720" w:hanging="720"/>
      </w:pPr>
      <w:bookmarkStart w:id="22" w:name="_ENREF_12"/>
      <w:r w:rsidRPr="00C64325">
        <w:t>ÖNORM 2006. ÖNorm EN ISO 7730 Ergonomie der thermischen Umgebung - Analytische Bestimmung und Interpretation der thermischen Behaglichkeit durch Berechnung des PMV- und des PPD-Indexes und Kriterien der lokalen thermischen Behaglichkeit</w:t>
      </w:r>
    </w:p>
    <w:bookmarkEnd w:id="22"/>
    <w:p w:rsidR="00C64325" w:rsidRPr="00C64325" w:rsidRDefault="00C64325" w:rsidP="00C64325">
      <w:pPr>
        <w:pStyle w:val="EndNoteBibliography"/>
        <w:spacing w:after="0"/>
      </w:pPr>
    </w:p>
    <w:p w:rsidR="00C64325" w:rsidRPr="00C64325" w:rsidRDefault="00C64325" w:rsidP="00C64325">
      <w:pPr>
        <w:pStyle w:val="EndNoteBibliography"/>
        <w:spacing w:after="0"/>
        <w:ind w:left="720" w:hanging="720"/>
      </w:pPr>
      <w:bookmarkStart w:id="23" w:name="_ENREF_13"/>
      <w:r w:rsidRPr="00C64325">
        <w:t>ÖNORM 2007. ÖNorm EN 15251 Eingangsparameter für das Raumklima zur Auslegung und Bewertung der Energieeffizienz von Gebäuden - Raumluftqualität, Temperatur, Licht und Akustik.</w:t>
      </w:r>
      <w:bookmarkEnd w:id="23"/>
    </w:p>
    <w:p w:rsidR="00C64325" w:rsidRPr="00C64325" w:rsidRDefault="00C64325" w:rsidP="00C64325">
      <w:pPr>
        <w:pStyle w:val="EndNoteBibliography"/>
        <w:spacing w:after="0"/>
        <w:ind w:left="720" w:hanging="720"/>
      </w:pPr>
      <w:bookmarkStart w:id="24" w:name="_ENREF_14"/>
      <w:r w:rsidRPr="00C64325">
        <w:t xml:space="preserve">ÖNORM 2008. ÖNorm EN ISO 10211 Wärmebrücken im Hochbau - Wärmeströme und Oberflächentemperaturen - Detaillierte Berechnungen. Wien: Österreichisches Normungsinstitut (ON) </w:t>
      </w:r>
      <w:bookmarkEnd w:id="24"/>
    </w:p>
    <w:p w:rsidR="00C64325" w:rsidRPr="00C64325" w:rsidRDefault="00C64325" w:rsidP="00C64325">
      <w:pPr>
        <w:pStyle w:val="EndNoteBibliography"/>
        <w:spacing w:after="0"/>
        <w:ind w:left="720" w:hanging="720"/>
      </w:pPr>
      <w:bookmarkStart w:id="25" w:name="_ENREF_15"/>
      <w:r w:rsidRPr="00C64325">
        <w:t>ÖNORM 2012. ÖNorm B 8110-3 Wärmeschutz im Hochbau Teil 3: Vermeidung sommerlicher Überwärmung.</w:t>
      </w:r>
      <w:bookmarkEnd w:id="25"/>
    </w:p>
    <w:p w:rsidR="00C64325" w:rsidRPr="00C64325" w:rsidRDefault="00C64325" w:rsidP="00C64325">
      <w:pPr>
        <w:pStyle w:val="EndNoteBibliography"/>
        <w:ind w:left="720" w:hanging="720"/>
      </w:pPr>
      <w:bookmarkStart w:id="26" w:name="_ENREF_16"/>
      <w:r w:rsidRPr="00C64325">
        <w:t xml:space="preserve">WALTJEN, T., LIPP, B., ZELGER, T., MOTZ, E., HUBER, W., FELLNER, M., SCHARNHORST, A., HEISINGER, F., SKARABELLA, N., SCHMITRADNER, M., RICHTER, W., FELSMANN, C., GRITZKI, R., RÖSLER, M., OBERMAYER, J. &amp; HERZOG, B. 2011. </w:t>
      </w:r>
      <w:r w:rsidRPr="00C64325">
        <w:rPr>
          <w:i/>
        </w:rPr>
        <w:t xml:space="preserve">Handbuch Komfort für Passivhaus-Büros, </w:t>
      </w:r>
      <w:r w:rsidRPr="00C64325">
        <w:t>Wien, IBO - Österreichisches Institut für Baubiologie und -ökologie.</w:t>
      </w:r>
      <w:bookmarkEnd w:id="26"/>
    </w:p>
    <w:p w:rsidR="00C9375A" w:rsidRPr="00C9375A" w:rsidRDefault="00112412" w:rsidP="00227358">
      <w:pPr>
        <w:pStyle w:val="Listenabsatz"/>
        <w:numPr>
          <w:ilvl w:val="0"/>
          <w:numId w:val="11"/>
        </w:numPr>
      </w:pPr>
      <w:r>
        <w:fldChar w:fldCharType="end"/>
      </w:r>
    </w:p>
    <w:sectPr w:rsidR="00C9375A" w:rsidRPr="00C9375A" w:rsidSect="001716E3">
      <w:headerReference w:type="default" r:id="rId80"/>
      <w:footerReference w:type="default" r:id="rId81"/>
      <w:footnotePr>
        <w:pos w:val="beneathText"/>
      </w:footnotePr>
      <w:pgSz w:w="11905" w:h="16837"/>
      <w:pgMar w:top="1879" w:right="1417" w:bottom="1134" w:left="1417" w:header="1134" w:footer="1134"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2B96" w:rsidRDefault="00372B96" w:rsidP="00476B88">
      <w:r>
        <w:separator/>
      </w:r>
    </w:p>
  </w:endnote>
  <w:endnote w:type="continuationSeparator" w:id="0">
    <w:p w:rsidR="00372B96" w:rsidRDefault="00372B96" w:rsidP="00476B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tarSymbol">
    <w:altName w:val="Arial Unicode MS"/>
    <w:charset w:val="00"/>
    <w:family w:val="auto"/>
    <w:pitch w:val="default"/>
  </w:font>
  <w:font w:name="Lucida Sans Unicode">
    <w:panose1 w:val="020B0602030504020204"/>
    <w:charset w:val="00"/>
    <w:family w:val="swiss"/>
    <w:pitch w:val="variable"/>
    <w:sig w:usb0="80000AFF" w:usb1="0000396B" w:usb2="00000000" w:usb3="00000000" w:csb0="000000B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391F" w:rsidRDefault="0057391F" w:rsidP="00476B88">
    <w:pPr>
      <w:pStyle w:val="Fuzeile"/>
    </w:pPr>
    <w:r>
      <w:fldChar w:fldCharType="begin"/>
    </w:r>
    <w:r>
      <w:instrText xml:space="preserve"> TIME \@ "dd.MM.yyyy" </w:instrText>
    </w:r>
    <w:r>
      <w:fldChar w:fldCharType="separate"/>
    </w:r>
    <w:r>
      <w:rPr>
        <w:noProof/>
      </w:rPr>
      <w:t>28.06.2017</w:t>
    </w:r>
    <w:r>
      <w:fldChar w:fldCharType="end"/>
    </w:r>
    <w:r>
      <w:tab/>
    </w:r>
    <w:r w:rsidRPr="000D45B0">
      <w:rPr>
        <w:noProof/>
      </w:rPr>
      <w:fldChar w:fldCharType="begin"/>
    </w:r>
    <w:r w:rsidRPr="000D45B0">
      <w:rPr>
        <w:noProof/>
      </w:rPr>
      <w:instrText>PAGE  \* Arabic  \* MERGEFORMAT</w:instrText>
    </w:r>
    <w:r w:rsidRPr="000D45B0">
      <w:rPr>
        <w:noProof/>
      </w:rPr>
      <w:fldChar w:fldCharType="separate"/>
    </w:r>
    <w:r w:rsidR="00372B96">
      <w:rPr>
        <w:noProof/>
      </w:rPr>
      <w:t>1</w:t>
    </w:r>
    <w:r w:rsidRPr="000D45B0">
      <w:rPr>
        <w:noProof/>
      </w:rPr>
      <w:fldChar w:fldCharType="end"/>
    </w:r>
    <w:r>
      <w:rPr>
        <w:noProof/>
      </w:rPr>
      <w:t>/</w:t>
    </w:r>
    <w:r w:rsidRPr="000D45B0">
      <w:rPr>
        <w:noProof/>
      </w:rPr>
      <w:fldChar w:fldCharType="begin"/>
    </w:r>
    <w:r w:rsidRPr="000D45B0">
      <w:rPr>
        <w:noProof/>
      </w:rPr>
      <w:instrText>NUMPAGES  \* Arabic  \* MERGEFORMAT</w:instrText>
    </w:r>
    <w:r w:rsidRPr="000D45B0">
      <w:rPr>
        <w:noProof/>
      </w:rPr>
      <w:fldChar w:fldCharType="separate"/>
    </w:r>
    <w:r w:rsidR="00372B96">
      <w:rPr>
        <w:noProof/>
      </w:rPr>
      <w:t>1</w:t>
    </w:r>
    <w:r w:rsidRPr="000D45B0">
      <w:rPr>
        <w:noProof/>
      </w:rPr>
      <w:fldChar w:fldCharType="end"/>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2B96" w:rsidRDefault="00372B96" w:rsidP="00476B88">
      <w:r>
        <w:separator/>
      </w:r>
    </w:p>
  </w:footnote>
  <w:footnote w:type="continuationSeparator" w:id="0">
    <w:p w:rsidR="00372B96" w:rsidRDefault="00372B96" w:rsidP="00476B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391F" w:rsidRPr="000D45B0" w:rsidRDefault="0057391F" w:rsidP="00732454">
    <w:pPr>
      <w:pStyle w:val="Kopfzeile"/>
      <w:jc w:val="center"/>
    </w:pPr>
    <w:r w:rsidRPr="000D45B0">
      <w:rPr>
        <w:sz w:val="18"/>
        <w:szCs w:val="18"/>
      </w:rPr>
      <w:t>Dissertation - Tobias Steiner</w:t>
    </w:r>
    <w:r w:rsidRPr="000D45B0">
      <w:rPr>
        <w:sz w:val="18"/>
        <w:szCs w:val="18"/>
      </w:rPr>
      <w:tab/>
    </w:r>
    <w:r w:rsidRPr="000D45B0">
      <w:rPr>
        <w:sz w:val="18"/>
        <w:szCs w:val="18"/>
      </w:rPr>
      <w:tab/>
    </w:r>
    <w:r>
      <w:rPr>
        <w:sz w:val="18"/>
        <w:szCs w:val="18"/>
      </w:rPr>
      <w:t xml:space="preserve">Kapitel </w:t>
    </w:r>
    <w:r w:rsidRPr="000D45B0">
      <w:rPr>
        <w:sz w:val="18"/>
        <w:szCs w:val="18"/>
      </w:rPr>
      <w:t>4 Optimierungsziel, Grundlagen und Bewertungskriterien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6526E802"/>
    <w:lvl w:ilvl="0">
      <w:start w:val="1"/>
      <w:numFmt w:val="bullet"/>
      <w:pStyle w:val="Aufzhlungszeichen3"/>
      <w:lvlText w:val=""/>
      <w:lvlJc w:val="left"/>
      <w:pPr>
        <w:tabs>
          <w:tab w:val="num" w:pos="926"/>
        </w:tabs>
        <w:ind w:left="926" w:hanging="360"/>
      </w:pPr>
      <w:rPr>
        <w:rFonts w:ascii="Symbol" w:hAnsi="Symbol" w:hint="default"/>
      </w:rPr>
    </w:lvl>
  </w:abstractNum>
  <w:abstractNum w:abstractNumId="1">
    <w:nsid w:val="00000001"/>
    <w:multiLevelType w:val="multilevel"/>
    <w:tmpl w:val="229617A6"/>
    <w:lvl w:ilvl="0">
      <w:start w:val="1"/>
      <w:numFmt w:val="none"/>
      <w:suff w:val="nothing"/>
      <w:lvlText w:val=""/>
      <w:lvlJc w:val="left"/>
      <w:pPr>
        <w:tabs>
          <w:tab w:val="num" w:pos="0"/>
        </w:tabs>
        <w:ind w:left="0" w:firstLine="0"/>
      </w:pPr>
    </w:lvl>
    <w:lvl w:ilvl="1">
      <w:start w:val="1"/>
      <w:numFmt w:val="decimal"/>
      <w:lvlText w:val="%2"/>
      <w:lvlJc w:val="left"/>
      <w:pPr>
        <w:tabs>
          <w:tab w:val="num" w:pos="0"/>
        </w:tabs>
        <w:ind w:left="0" w:firstLine="0"/>
      </w:pPr>
    </w:lvl>
    <w:lvl w:ilvl="2">
      <w:start w:val="1"/>
      <w:numFmt w:val="decimal"/>
      <w:lvlText w:val="%2.%3"/>
      <w:lvlJc w:val="left"/>
      <w:pPr>
        <w:tabs>
          <w:tab w:val="num" w:pos="0"/>
        </w:tabs>
        <w:ind w:left="0" w:firstLine="0"/>
      </w:pPr>
    </w:lvl>
    <w:lvl w:ilvl="3">
      <w:start w:val="1"/>
      <w:numFmt w:val="decimal"/>
      <w:lvlText w:val="%2.%3.%4"/>
      <w:lvlJc w:val="left"/>
      <w:pPr>
        <w:tabs>
          <w:tab w:val="num" w:pos="0"/>
        </w:tabs>
        <w:ind w:left="0" w:firstLine="0"/>
      </w:pPr>
    </w:lvl>
    <w:lvl w:ilvl="4">
      <w:start w:val="1"/>
      <w:numFmt w:val="none"/>
      <w:suff w:val="nothing"/>
      <w:lvlText w:val=""/>
      <w:lvlJc w:val="left"/>
      <w:pPr>
        <w:tabs>
          <w:tab w:val="num" w:pos="113"/>
        </w:tabs>
        <w:ind w:left="113" w:firstLine="0"/>
      </w:pPr>
    </w:lvl>
    <w:lvl w:ilvl="5">
      <w:start w:val="1"/>
      <w:numFmt w:val="decimal"/>
      <w:lvlText w:val="%2.%3.%4.%6"/>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pStyle w:val="berschrift10"/>
      <w:suff w:val="nothing"/>
      <w:lvlText w:val=""/>
      <w:lvlJc w:val="left"/>
      <w:pPr>
        <w:tabs>
          <w:tab w:val="num" w:pos="0"/>
        </w:tabs>
        <w:ind w:left="0" w:firstLine="0"/>
      </w:pPr>
    </w:lvl>
  </w:abstractNum>
  <w:abstractNum w:abstractNumId="2">
    <w:nsid w:val="00000002"/>
    <w:multiLevelType w:val="multilevel"/>
    <w:tmpl w:val="00000002"/>
    <w:name w:val="Aufzählung 1"/>
    <w:lvl w:ilvl="0">
      <w:start w:val="1"/>
      <w:numFmt w:val="bullet"/>
      <w:pStyle w:val="TextkrperAufzhlungeng"/>
      <w:lvlText w:val=""/>
      <w:lvlJc w:val="left"/>
      <w:pPr>
        <w:tabs>
          <w:tab w:val="num" w:pos="227"/>
        </w:tabs>
        <w:ind w:left="227" w:hanging="227"/>
      </w:pPr>
      <w:rPr>
        <w:rFonts w:ascii="Symbol" w:hAnsi="Symbol"/>
      </w:rPr>
    </w:lvl>
    <w:lvl w:ilvl="1">
      <w:start w:val="1"/>
      <w:numFmt w:val="bullet"/>
      <w:lvlText w:val="◦"/>
      <w:lvlJc w:val="left"/>
      <w:pPr>
        <w:tabs>
          <w:tab w:val="num" w:pos="454"/>
        </w:tabs>
        <w:ind w:left="454" w:hanging="227"/>
      </w:pPr>
      <w:rPr>
        <w:rFonts w:ascii="Tahoma" w:hAnsi="Tahoma"/>
      </w:rPr>
    </w:lvl>
    <w:lvl w:ilvl="2">
      <w:start w:val="1"/>
      <w:numFmt w:val="bullet"/>
      <w:lvlText w:val="▫"/>
      <w:lvlJc w:val="left"/>
      <w:pPr>
        <w:tabs>
          <w:tab w:val="num" w:pos="680"/>
        </w:tabs>
        <w:ind w:left="680" w:hanging="227"/>
      </w:pPr>
      <w:rPr>
        <w:rFonts w:ascii="Tahoma" w:hAnsi="Tahoma"/>
      </w:rPr>
    </w:lvl>
    <w:lvl w:ilvl="3">
      <w:start w:val="1"/>
      <w:numFmt w:val="bullet"/>
      <w:lvlText w:val=""/>
      <w:lvlJc w:val="left"/>
      <w:pPr>
        <w:tabs>
          <w:tab w:val="num" w:pos="907"/>
        </w:tabs>
        <w:ind w:left="907" w:hanging="227"/>
      </w:pPr>
      <w:rPr>
        <w:rFonts w:ascii="Symbol" w:hAnsi="Symbol"/>
      </w:rPr>
    </w:lvl>
    <w:lvl w:ilvl="4">
      <w:start w:val="1"/>
      <w:numFmt w:val="bullet"/>
      <w:lvlText w:val=""/>
      <w:lvlJc w:val="left"/>
      <w:pPr>
        <w:tabs>
          <w:tab w:val="num" w:pos="1134"/>
        </w:tabs>
        <w:ind w:left="1134" w:hanging="227"/>
      </w:pPr>
      <w:rPr>
        <w:rFonts w:ascii="Symbol" w:hAnsi="Symbol"/>
      </w:rPr>
    </w:lvl>
    <w:lvl w:ilvl="5">
      <w:start w:val="1"/>
      <w:numFmt w:val="bullet"/>
      <w:lvlText w:val=""/>
      <w:lvlJc w:val="left"/>
      <w:pPr>
        <w:tabs>
          <w:tab w:val="num" w:pos="1361"/>
        </w:tabs>
        <w:ind w:left="1361" w:hanging="227"/>
      </w:pPr>
      <w:rPr>
        <w:rFonts w:ascii="Symbol" w:hAnsi="Symbol"/>
      </w:rPr>
    </w:lvl>
    <w:lvl w:ilvl="6">
      <w:start w:val="1"/>
      <w:numFmt w:val="bullet"/>
      <w:lvlText w:val=""/>
      <w:lvlJc w:val="left"/>
      <w:pPr>
        <w:tabs>
          <w:tab w:val="num" w:pos="1587"/>
        </w:tabs>
        <w:ind w:left="1587" w:hanging="227"/>
      </w:pPr>
      <w:rPr>
        <w:rFonts w:ascii="Symbol" w:hAnsi="Symbol"/>
      </w:rPr>
    </w:lvl>
    <w:lvl w:ilvl="7">
      <w:start w:val="1"/>
      <w:numFmt w:val="bullet"/>
      <w:lvlText w:val=""/>
      <w:lvlJc w:val="left"/>
      <w:pPr>
        <w:tabs>
          <w:tab w:val="num" w:pos="1814"/>
        </w:tabs>
        <w:ind w:left="1814" w:hanging="227"/>
      </w:pPr>
      <w:rPr>
        <w:rFonts w:ascii="Symbol" w:hAnsi="Symbol"/>
      </w:rPr>
    </w:lvl>
    <w:lvl w:ilvl="8">
      <w:start w:val="1"/>
      <w:numFmt w:val="bullet"/>
      <w:lvlText w:val=""/>
      <w:lvlJc w:val="left"/>
      <w:pPr>
        <w:tabs>
          <w:tab w:val="num" w:pos="2041"/>
        </w:tabs>
        <w:ind w:left="2041" w:hanging="227"/>
      </w:pPr>
      <w:rPr>
        <w:rFonts w:ascii="Symbol" w:hAnsi="Symbol"/>
      </w:rPr>
    </w:lvl>
  </w:abstractNum>
  <w:abstractNum w:abstractNumId="3">
    <w:nsid w:val="006431E2"/>
    <w:multiLevelType w:val="hybridMultilevel"/>
    <w:tmpl w:val="CAC6C6C6"/>
    <w:lvl w:ilvl="0" w:tplc="FD00AFDC">
      <w:numFmt w:val="bullet"/>
      <w:lvlText w:val=""/>
      <w:lvlJc w:val="left"/>
      <w:pPr>
        <w:ind w:left="720" w:hanging="360"/>
      </w:pPr>
      <w:rPr>
        <w:rFonts w:ascii="Wingdings" w:eastAsia="Calibri" w:hAnsi="Wingdings"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19F74A26"/>
    <w:multiLevelType w:val="multilevel"/>
    <w:tmpl w:val="B9B4D758"/>
    <w:styleLink w:val="Formatvorlage1"/>
    <w:lvl w:ilvl="0">
      <w:start w:val="1"/>
      <w:numFmt w:val="decimal"/>
      <w:isLg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4."/>
      <w:lvlJc w:val="left"/>
      <w:pPr>
        <w:ind w:left="864" w:hanging="864"/>
      </w:pPr>
      <w:rPr>
        <w:rFonts w:hint="default"/>
      </w:rPr>
    </w:lvl>
    <w:lvl w:ilvl="4">
      <w:start w:val="1"/>
      <w:numFmt w:val="none"/>
      <w:lvlText w:val=""/>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1D1B3CB3"/>
    <w:multiLevelType w:val="multilevel"/>
    <w:tmpl w:val="D29E9D08"/>
    <w:styleLink w:val="BerichteFFG"/>
    <w:lvl w:ilvl="0">
      <w:start w:val="1"/>
      <w:numFmt w:val="decimal"/>
      <w:lvlText w:val="%1"/>
      <w:lvlJc w:val="left"/>
      <w:pPr>
        <w:ind w:left="454" w:hanging="454"/>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nsid w:val="1E2F2567"/>
    <w:multiLevelType w:val="multilevel"/>
    <w:tmpl w:val="613A840A"/>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none"/>
      <w:pStyle w:val="berschrift5"/>
      <w:suff w:val="nothing"/>
      <w:lvlText w:val=""/>
      <w:lvlJc w:val="left"/>
      <w:pPr>
        <w:ind w:left="0" w:firstLine="0"/>
      </w:pPr>
      <w:rPr>
        <w:rFonts w:hint="default"/>
      </w:rPr>
    </w:lvl>
    <w:lvl w:ilvl="5">
      <w:start w:val="1"/>
      <w:numFmt w:val="none"/>
      <w:pStyle w:val="berschrift6"/>
      <w:suff w:val="nothing"/>
      <w:lvlText w:val=""/>
      <w:lvlJc w:val="left"/>
      <w:pPr>
        <w:ind w:left="0" w:firstLine="0"/>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7">
    <w:nsid w:val="1F680947"/>
    <w:multiLevelType w:val="hybridMultilevel"/>
    <w:tmpl w:val="68E0F13C"/>
    <w:lvl w:ilvl="0" w:tplc="0C07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8">
    <w:nsid w:val="327D31B2"/>
    <w:multiLevelType w:val="hybridMultilevel"/>
    <w:tmpl w:val="A8E4BD44"/>
    <w:lvl w:ilvl="0" w:tplc="0C070011">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9">
    <w:nsid w:val="3D290051"/>
    <w:multiLevelType w:val="hybridMultilevel"/>
    <w:tmpl w:val="A9444764"/>
    <w:lvl w:ilvl="0" w:tplc="FD00AFDC">
      <w:numFmt w:val="bullet"/>
      <w:lvlText w:val=""/>
      <w:lvlJc w:val="left"/>
      <w:pPr>
        <w:ind w:left="720" w:hanging="360"/>
      </w:pPr>
      <w:rPr>
        <w:rFonts w:ascii="Wingdings" w:eastAsia="Calibri" w:hAnsi="Wingdings" w:cs="Times New Roman"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nsid w:val="4AF733F1"/>
    <w:multiLevelType w:val="hybridMultilevel"/>
    <w:tmpl w:val="D9BCBB0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nsid w:val="54905A8B"/>
    <w:multiLevelType w:val="hybridMultilevel"/>
    <w:tmpl w:val="AA8C56E2"/>
    <w:lvl w:ilvl="0" w:tplc="FD00AFDC">
      <w:numFmt w:val="bullet"/>
      <w:lvlText w:val=""/>
      <w:lvlJc w:val="left"/>
      <w:pPr>
        <w:ind w:left="720" w:hanging="360"/>
      </w:pPr>
      <w:rPr>
        <w:rFonts w:ascii="Wingdings" w:eastAsia="Calibri" w:hAnsi="Wingdings" w:cs="Times New Roman"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nsid w:val="6CF079C0"/>
    <w:multiLevelType w:val="multilevel"/>
    <w:tmpl w:val="0407001F"/>
    <w:styleLink w:val="Formatvorlage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6D2C7D4E"/>
    <w:multiLevelType w:val="hybridMultilevel"/>
    <w:tmpl w:val="F4E8FCE0"/>
    <w:lvl w:ilvl="0" w:tplc="FD00AFDC">
      <w:numFmt w:val="bullet"/>
      <w:lvlText w:val=""/>
      <w:lvlJc w:val="left"/>
      <w:pPr>
        <w:ind w:left="720" w:hanging="360"/>
      </w:pPr>
      <w:rPr>
        <w:rFonts w:ascii="Wingdings" w:eastAsia="Calibri" w:hAnsi="Wingdings" w:cs="Times New Roman"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nsid w:val="7F3E4A25"/>
    <w:multiLevelType w:val="hybridMultilevel"/>
    <w:tmpl w:val="78943382"/>
    <w:lvl w:ilvl="0" w:tplc="FD00AFDC">
      <w:numFmt w:val="bullet"/>
      <w:lvlText w:val=""/>
      <w:lvlJc w:val="left"/>
      <w:pPr>
        <w:ind w:left="720" w:hanging="360"/>
      </w:pPr>
      <w:rPr>
        <w:rFonts w:ascii="Wingdings" w:eastAsia="Calibri" w:hAnsi="Wingdings" w:cs="Times New Roman"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nsid w:val="7F6A6C8F"/>
    <w:multiLevelType w:val="hybridMultilevel"/>
    <w:tmpl w:val="95DCC0DC"/>
    <w:lvl w:ilvl="0" w:tplc="61C2DE4C">
      <w:start w:val="1"/>
      <w:numFmt w:val="bullet"/>
      <w:pStyle w:val="Aufzhlung"/>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15"/>
  </w:num>
  <w:num w:numId="4">
    <w:abstractNumId w:val="0"/>
  </w:num>
  <w:num w:numId="5">
    <w:abstractNumId w:val="4"/>
  </w:num>
  <w:num w:numId="6">
    <w:abstractNumId w:val="12"/>
  </w:num>
  <w:num w:numId="7">
    <w:abstractNumId w:val="5"/>
  </w:num>
  <w:num w:numId="8">
    <w:abstractNumId w:val="6"/>
  </w:num>
  <w:num w:numId="9">
    <w:abstractNumId w:val="9"/>
  </w:num>
  <w:num w:numId="10">
    <w:abstractNumId w:val="11"/>
  </w:num>
  <w:num w:numId="11">
    <w:abstractNumId w:val="13"/>
  </w:num>
  <w:num w:numId="12">
    <w:abstractNumId w:val="10"/>
  </w:num>
  <w:num w:numId="13">
    <w:abstractNumId w:val="14"/>
  </w:num>
  <w:num w:numId="14">
    <w:abstractNumId w:val="6"/>
  </w:num>
  <w:num w:numId="15">
    <w:abstractNumId w:val="7"/>
  </w:num>
  <w:num w:numId="16">
    <w:abstractNumId w:val="6"/>
  </w:num>
  <w:num w:numId="17">
    <w:abstractNumId w:val="3"/>
  </w:num>
  <w:num w:numId="18">
    <w:abstractNumId w:val="8"/>
  </w:num>
  <w:num w:numId="19">
    <w:abstractNumId w:val="6"/>
  </w:num>
  <w:num w:numId="20">
    <w:abstractNumId w:val="6"/>
  </w:num>
  <w:num w:numId="21">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stylePaneFormatFilter w:val="5624" w:allStyles="0" w:customStyles="0" w:latentStyles="1" w:stylesInUse="0" w:headingStyles="1" w:numberingStyles="0" w:tableStyles="0" w:directFormattingOnRuns="0" w:directFormattingOnParagraphs="1" w:directFormattingOnNumbering="1" w:directFormattingOnTables="0" w:clearFormatting="1" w:top3HeadingStyles="0" w:visibleStyles="1" w:alternateStyleNames="0"/>
  <w:stylePaneSortMethod w:val="0000"/>
  <w:defaultTabStop w:val="709"/>
  <w:hyphenationZone w:val="425"/>
  <w:defaultTableStyle w:val="Standardtabelle"/>
  <w:drawingGridHorizontalSpacing w:val="100"/>
  <w:drawingGridVerticalSpacing w:val="0"/>
  <w:displayHorizontalDrawingGridEvery w:val="0"/>
  <w:displayVerticalDrawingGridEvery w:val="0"/>
  <w:noPunctuationKerning/>
  <w:characterSpacingControl w:val="doNotCompress"/>
  <w:strictFirstAndLastChars/>
  <w:savePreviewPicture/>
  <w:hdrShapeDefaults>
    <o:shapedefaults v:ext="edit" spidmax="2049"/>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zxrx2rspbdeppzeza5fv0e03vdwxr5svazdr&quot;&gt;20160404_Literaturdatenbank_Tobias_Steiner&lt;record-ids&gt;&lt;item&gt;96&lt;/item&gt;&lt;item&gt;147&lt;/item&gt;&lt;item&gt;247&lt;/item&gt;&lt;item&gt;257&lt;/item&gt;&lt;item&gt;457&lt;/item&gt;&lt;item&gt;4951&lt;/item&gt;&lt;item&gt;5934&lt;/item&gt;&lt;item&gt;6368&lt;/item&gt;&lt;item&gt;6369&lt;/item&gt;&lt;item&gt;10256&lt;/item&gt;&lt;item&gt;10257&lt;/item&gt;&lt;item&gt;10877&lt;/item&gt;&lt;item&gt;11399&lt;/item&gt;&lt;item&gt;11412&lt;/item&gt;&lt;item&gt;11415&lt;/item&gt;&lt;item&gt;11417&lt;/item&gt;&lt;/record-ids&gt;&lt;/item&gt;&lt;/Libraries&gt;"/>
  </w:docVars>
  <w:rsids>
    <w:rsidRoot w:val="00004C1B"/>
    <w:rsid w:val="00001C70"/>
    <w:rsid w:val="0000394F"/>
    <w:rsid w:val="00004C1B"/>
    <w:rsid w:val="00004D5E"/>
    <w:rsid w:val="00006BDD"/>
    <w:rsid w:val="00010583"/>
    <w:rsid w:val="00011734"/>
    <w:rsid w:val="00011CEA"/>
    <w:rsid w:val="00013CD3"/>
    <w:rsid w:val="00014AD3"/>
    <w:rsid w:val="00016EA0"/>
    <w:rsid w:val="00017678"/>
    <w:rsid w:val="00021408"/>
    <w:rsid w:val="00022086"/>
    <w:rsid w:val="000222A9"/>
    <w:rsid w:val="00025312"/>
    <w:rsid w:val="000255E4"/>
    <w:rsid w:val="00025F61"/>
    <w:rsid w:val="000270C3"/>
    <w:rsid w:val="000309F5"/>
    <w:rsid w:val="00031D93"/>
    <w:rsid w:val="000369D2"/>
    <w:rsid w:val="00037176"/>
    <w:rsid w:val="00040258"/>
    <w:rsid w:val="00040FFF"/>
    <w:rsid w:val="00042C70"/>
    <w:rsid w:val="00043782"/>
    <w:rsid w:val="0004492A"/>
    <w:rsid w:val="00044B79"/>
    <w:rsid w:val="00044F4A"/>
    <w:rsid w:val="00045682"/>
    <w:rsid w:val="00047027"/>
    <w:rsid w:val="00047A89"/>
    <w:rsid w:val="00047AE6"/>
    <w:rsid w:val="00050767"/>
    <w:rsid w:val="00050EA4"/>
    <w:rsid w:val="00051175"/>
    <w:rsid w:val="000520CB"/>
    <w:rsid w:val="0005347A"/>
    <w:rsid w:val="00054479"/>
    <w:rsid w:val="00054CB0"/>
    <w:rsid w:val="00054D51"/>
    <w:rsid w:val="0005528C"/>
    <w:rsid w:val="0005564C"/>
    <w:rsid w:val="00055C33"/>
    <w:rsid w:val="0005646B"/>
    <w:rsid w:val="00057F3C"/>
    <w:rsid w:val="00062091"/>
    <w:rsid w:val="00063F60"/>
    <w:rsid w:val="00063FEB"/>
    <w:rsid w:val="00066B23"/>
    <w:rsid w:val="00067E11"/>
    <w:rsid w:val="0007034A"/>
    <w:rsid w:val="00070CC3"/>
    <w:rsid w:val="00071351"/>
    <w:rsid w:val="00073D9E"/>
    <w:rsid w:val="0007434C"/>
    <w:rsid w:val="00075A9B"/>
    <w:rsid w:val="00076C73"/>
    <w:rsid w:val="00080371"/>
    <w:rsid w:val="00081DBD"/>
    <w:rsid w:val="00084028"/>
    <w:rsid w:val="00085624"/>
    <w:rsid w:val="0008627D"/>
    <w:rsid w:val="0008676D"/>
    <w:rsid w:val="0008692A"/>
    <w:rsid w:val="000870AE"/>
    <w:rsid w:val="00087C74"/>
    <w:rsid w:val="000900FD"/>
    <w:rsid w:val="0009054D"/>
    <w:rsid w:val="00091BBD"/>
    <w:rsid w:val="00092782"/>
    <w:rsid w:val="00093541"/>
    <w:rsid w:val="00093CA6"/>
    <w:rsid w:val="0009528B"/>
    <w:rsid w:val="00095D22"/>
    <w:rsid w:val="00095E9F"/>
    <w:rsid w:val="00096535"/>
    <w:rsid w:val="00096917"/>
    <w:rsid w:val="00096C8E"/>
    <w:rsid w:val="000A0317"/>
    <w:rsid w:val="000A04B4"/>
    <w:rsid w:val="000A07F2"/>
    <w:rsid w:val="000A0FB5"/>
    <w:rsid w:val="000A127C"/>
    <w:rsid w:val="000A1753"/>
    <w:rsid w:val="000A1B22"/>
    <w:rsid w:val="000A3EDA"/>
    <w:rsid w:val="000A4530"/>
    <w:rsid w:val="000A4638"/>
    <w:rsid w:val="000A518B"/>
    <w:rsid w:val="000B006D"/>
    <w:rsid w:val="000B1659"/>
    <w:rsid w:val="000B4AAE"/>
    <w:rsid w:val="000B5F0F"/>
    <w:rsid w:val="000B6851"/>
    <w:rsid w:val="000C0A63"/>
    <w:rsid w:val="000C13D6"/>
    <w:rsid w:val="000C5929"/>
    <w:rsid w:val="000C6ECD"/>
    <w:rsid w:val="000C70E6"/>
    <w:rsid w:val="000C7340"/>
    <w:rsid w:val="000C75EE"/>
    <w:rsid w:val="000D3183"/>
    <w:rsid w:val="000D45B0"/>
    <w:rsid w:val="000D5559"/>
    <w:rsid w:val="000D6C3E"/>
    <w:rsid w:val="000D7D13"/>
    <w:rsid w:val="000D7ECE"/>
    <w:rsid w:val="000E3E22"/>
    <w:rsid w:val="000E5B9D"/>
    <w:rsid w:val="000F0ED3"/>
    <w:rsid w:val="000F198C"/>
    <w:rsid w:val="000F1B5B"/>
    <w:rsid w:val="000F2A9F"/>
    <w:rsid w:val="000F44CC"/>
    <w:rsid w:val="000F5C79"/>
    <w:rsid w:val="000F5DDA"/>
    <w:rsid w:val="000F7989"/>
    <w:rsid w:val="000F7F00"/>
    <w:rsid w:val="001005C3"/>
    <w:rsid w:val="00100A0E"/>
    <w:rsid w:val="001016CA"/>
    <w:rsid w:val="001021D9"/>
    <w:rsid w:val="001029C5"/>
    <w:rsid w:val="001036CC"/>
    <w:rsid w:val="001038D6"/>
    <w:rsid w:val="00103BB9"/>
    <w:rsid w:val="00104301"/>
    <w:rsid w:val="001065E2"/>
    <w:rsid w:val="0010686D"/>
    <w:rsid w:val="00107AB5"/>
    <w:rsid w:val="0011018E"/>
    <w:rsid w:val="00110C76"/>
    <w:rsid w:val="001112CB"/>
    <w:rsid w:val="00111845"/>
    <w:rsid w:val="00112412"/>
    <w:rsid w:val="001126A8"/>
    <w:rsid w:val="00112D67"/>
    <w:rsid w:val="00113D79"/>
    <w:rsid w:val="00115056"/>
    <w:rsid w:val="001179BD"/>
    <w:rsid w:val="00117A29"/>
    <w:rsid w:val="0012000C"/>
    <w:rsid w:val="00120E03"/>
    <w:rsid w:val="001219EE"/>
    <w:rsid w:val="0012209E"/>
    <w:rsid w:val="0012369F"/>
    <w:rsid w:val="001253A6"/>
    <w:rsid w:val="00125A72"/>
    <w:rsid w:val="00125C74"/>
    <w:rsid w:val="00125EFE"/>
    <w:rsid w:val="0012723B"/>
    <w:rsid w:val="001325F0"/>
    <w:rsid w:val="00133E53"/>
    <w:rsid w:val="00134616"/>
    <w:rsid w:val="001349C2"/>
    <w:rsid w:val="00134B90"/>
    <w:rsid w:val="00140BD7"/>
    <w:rsid w:val="00141236"/>
    <w:rsid w:val="0014263F"/>
    <w:rsid w:val="00143930"/>
    <w:rsid w:val="0014444D"/>
    <w:rsid w:val="00146467"/>
    <w:rsid w:val="001469D4"/>
    <w:rsid w:val="00146D46"/>
    <w:rsid w:val="0014747F"/>
    <w:rsid w:val="00150141"/>
    <w:rsid w:val="001513D9"/>
    <w:rsid w:val="001517DE"/>
    <w:rsid w:val="00152AD9"/>
    <w:rsid w:val="00153D94"/>
    <w:rsid w:val="001545A2"/>
    <w:rsid w:val="00154E6E"/>
    <w:rsid w:val="001565E8"/>
    <w:rsid w:val="00160105"/>
    <w:rsid w:val="0016313A"/>
    <w:rsid w:val="00166538"/>
    <w:rsid w:val="001672CE"/>
    <w:rsid w:val="00170D6C"/>
    <w:rsid w:val="001710B0"/>
    <w:rsid w:val="00171381"/>
    <w:rsid w:val="001716E3"/>
    <w:rsid w:val="00171B1E"/>
    <w:rsid w:val="00172361"/>
    <w:rsid w:val="00173872"/>
    <w:rsid w:val="001738D1"/>
    <w:rsid w:val="00174614"/>
    <w:rsid w:val="001764E5"/>
    <w:rsid w:val="001822AE"/>
    <w:rsid w:val="00183228"/>
    <w:rsid w:val="00184545"/>
    <w:rsid w:val="001853F6"/>
    <w:rsid w:val="00185DDA"/>
    <w:rsid w:val="001863DD"/>
    <w:rsid w:val="001866B1"/>
    <w:rsid w:val="0018686C"/>
    <w:rsid w:val="0018720A"/>
    <w:rsid w:val="00192D81"/>
    <w:rsid w:val="00193292"/>
    <w:rsid w:val="001933CA"/>
    <w:rsid w:val="00194FB3"/>
    <w:rsid w:val="0019596D"/>
    <w:rsid w:val="00196450"/>
    <w:rsid w:val="001A1030"/>
    <w:rsid w:val="001A62F0"/>
    <w:rsid w:val="001B2A6F"/>
    <w:rsid w:val="001B3665"/>
    <w:rsid w:val="001B77C7"/>
    <w:rsid w:val="001B7FC3"/>
    <w:rsid w:val="001C1606"/>
    <w:rsid w:val="001C2112"/>
    <w:rsid w:val="001C243F"/>
    <w:rsid w:val="001C4174"/>
    <w:rsid w:val="001C620E"/>
    <w:rsid w:val="001C6925"/>
    <w:rsid w:val="001D0EE1"/>
    <w:rsid w:val="001D26BE"/>
    <w:rsid w:val="001D475F"/>
    <w:rsid w:val="001D5D23"/>
    <w:rsid w:val="001D608A"/>
    <w:rsid w:val="001D64EB"/>
    <w:rsid w:val="001D71A9"/>
    <w:rsid w:val="001E0F84"/>
    <w:rsid w:val="001E1BB5"/>
    <w:rsid w:val="001E3AAE"/>
    <w:rsid w:val="001E3FAF"/>
    <w:rsid w:val="001E4DB3"/>
    <w:rsid w:val="001E621B"/>
    <w:rsid w:val="001F12D8"/>
    <w:rsid w:val="001F14C9"/>
    <w:rsid w:val="001F1C0A"/>
    <w:rsid w:val="001F3832"/>
    <w:rsid w:val="001F5ED6"/>
    <w:rsid w:val="001F6217"/>
    <w:rsid w:val="00201BA8"/>
    <w:rsid w:val="00203DF5"/>
    <w:rsid w:val="00203F51"/>
    <w:rsid w:val="002041EB"/>
    <w:rsid w:val="00204590"/>
    <w:rsid w:val="00204CFA"/>
    <w:rsid w:val="0020747F"/>
    <w:rsid w:val="00207B2D"/>
    <w:rsid w:val="00207BFF"/>
    <w:rsid w:val="00214933"/>
    <w:rsid w:val="002163E6"/>
    <w:rsid w:val="00216C44"/>
    <w:rsid w:val="002177BD"/>
    <w:rsid w:val="00217F67"/>
    <w:rsid w:val="002204F2"/>
    <w:rsid w:val="00220A4A"/>
    <w:rsid w:val="00220E35"/>
    <w:rsid w:val="00221D03"/>
    <w:rsid w:val="00222925"/>
    <w:rsid w:val="00222997"/>
    <w:rsid w:val="00222B4A"/>
    <w:rsid w:val="002236A9"/>
    <w:rsid w:val="00224C91"/>
    <w:rsid w:val="0022595F"/>
    <w:rsid w:val="00227358"/>
    <w:rsid w:val="00231EEF"/>
    <w:rsid w:val="002341B4"/>
    <w:rsid w:val="00234E7C"/>
    <w:rsid w:val="00236310"/>
    <w:rsid w:val="00237085"/>
    <w:rsid w:val="00240A2C"/>
    <w:rsid w:val="002434B0"/>
    <w:rsid w:val="002466F0"/>
    <w:rsid w:val="00246BB2"/>
    <w:rsid w:val="002471CC"/>
    <w:rsid w:val="002475B5"/>
    <w:rsid w:val="00247B53"/>
    <w:rsid w:val="00247C00"/>
    <w:rsid w:val="00250621"/>
    <w:rsid w:val="00250628"/>
    <w:rsid w:val="002518A4"/>
    <w:rsid w:val="00251A1A"/>
    <w:rsid w:val="00252E09"/>
    <w:rsid w:val="002536E3"/>
    <w:rsid w:val="00255351"/>
    <w:rsid w:val="00256F09"/>
    <w:rsid w:val="0025711F"/>
    <w:rsid w:val="00257A4D"/>
    <w:rsid w:val="00257EE3"/>
    <w:rsid w:val="00260215"/>
    <w:rsid w:val="00260E92"/>
    <w:rsid w:val="0026168C"/>
    <w:rsid w:val="002621A3"/>
    <w:rsid w:val="00263BC5"/>
    <w:rsid w:val="00264835"/>
    <w:rsid w:val="002651B6"/>
    <w:rsid w:val="00265861"/>
    <w:rsid w:val="0027045C"/>
    <w:rsid w:val="00272A38"/>
    <w:rsid w:val="00275387"/>
    <w:rsid w:val="0027584B"/>
    <w:rsid w:val="00275A62"/>
    <w:rsid w:val="00275BEF"/>
    <w:rsid w:val="00276EA5"/>
    <w:rsid w:val="00277090"/>
    <w:rsid w:val="002776B2"/>
    <w:rsid w:val="00280DDB"/>
    <w:rsid w:val="00280FB2"/>
    <w:rsid w:val="00282335"/>
    <w:rsid w:val="00282856"/>
    <w:rsid w:val="00282FFE"/>
    <w:rsid w:val="0028372F"/>
    <w:rsid w:val="0028573F"/>
    <w:rsid w:val="00286C32"/>
    <w:rsid w:val="002908B3"/>
    <w:rsid w:val="00290A82"/>
    <w:rsid w:val="002928F3"/>
    <w:rsid w:val="00292CF5"/>
    <w:rsid w:val="00293CDF"/>
    <w:rsid w:val="00294A87"/>
    <w:rsid w:val="002960DD"/>
    <w:rsid w:val="00297E41"/>
    <w:rsid w:val="002A0D55"/>
    <w:rsid w:val="002A1F44"/>
    <w:rsid w:val="002A3CC7"/>
    <w:rsid w:val="002A5E7E"/>
    <w:rsid w:val="002A5EC2"/>
    <w:rsid w:val="002A64D1"/>
    <w:rsid w:val="002A6A5F"/>
    <w:rsid w:val="002B0090"/>
    <w:rsid w:val="002B091D"/>
    <w:rsid w:val="002B1674"/>
    <w:rsid w:val="002B2D4F"/>
    <w:rsid w:val="002B33E2"/>
    <w:rsid w:val="002B4BA7"/>
    <w:rsid w:val="002B5748"/>
    <w:rsid w:val="002B5F7D"/>
    <w:rsid w:val="002C12A2"/>
    <w:rsid w:val="002C17FC"/>
    <w:rsid w:val="002C1E8D"/>
    <w:rsid w:val="002C2A36"/>
    <w:rsid w:val="002C4154"/>
    <w:rsid w:val="002C4365"/>
    <w:rsid w:val="002C43C0"/>
    <w:rsid w:val="002C53A9"/>
    <w:rsid w:val="002C55BE"/>
    <w:rsid w:val="002C74A2"/>
    <w:rsid w:val="002C7BF4"/>
    <w:rsid w:val="002D01BD"/>
    <w:rsid w:val="002D6BE8"/>
    <w:rsid w:val="002E0028"/>
    <w:rsid w:val="002E1706"/>
    <w:rsid w:val="002E2605"/>
    <w:rsid w:val="002E386C"/>
    <w:rsid w:val="002E3B20"/>
    <w:rsid w:val="002E6AAB"/>
    <w:rsid w:val="002F1144"/>
    <w:rsid w:val="002F14A7"/>
    <w:rsid w:val="002F1DE6"/>
    <w:rsid w:val="002F2433"/>
    <w:rsid w:val="002F4215"/>
    <w:rsid w:val="002F5939"/>
    <w:rsid w:val="002F678D"/>
    <w:rsid w:val="00302B1E"/>
    <w:rsid w:val="00303D5B"/>
    <w:rsid w:val="003040B0"/>
    <w:rsid w:val="00304102"/>
    <w:rsid w:val="00305015"/>
    <w:rsid w:val="003113A4"/>
    <w:rsid w:val="003129D2"/>
    <w:rsid w:val="00312C0A"/>
    <w:rsid w:val="0031412B"/>
    <w:rsid w:val="00314377"/>
    <w:rsid w:val="00315290"/>
    <w:rsid w:val="0031571A"/>
    <w:rsid w:val="00315B12"/>
    <w:rsid w:val="00320255"/>
    <w:rsid w:val="00320EC7"/>
    <w:rsid w:val="00321069"/>
    <w:rsid w:val="003213DB"/>
    <w:rsid w:val="00321BD6"/>
    <w:rsid w:val="00323739"/>
    <w:rsid w:val="003263E6"/>
    <w:rsid w:val="00327108"/>
    <w:rsid w:val="00330600"/>
    <w:rsid w:val="00330B8D"/>
    <w:rsid w:val="00331348"/>
    <w:rsid w:val="003313BD"/>
    <w:rsid w:val="00331D37"/>
    <w:rsid w:val="00331D42"/>
    <w:rsid w:val="00332D73"/>
    <w:rsid w:val="00333AFD"/>
    <w:rsid w:val="00335A74"/>
    <w:rsid w:val="00335DA4"/>
    <w:rsid w:val="00341D54"/>
    <w:rsid w:val="0034312E"/>
    <w:rsid w:val="00343C15"/>
    <w:rsid w:val="0034442D"/>
    <w:rsid w:val="003446CD"/>
    <w:rsid w:val="00344EE2"/>
    <w:rsid w:val="00345F64"/>
    <w:rsid w:val="0034635B"/>
    <w:rsid w:val="00347B49"/>
    <w:rsid w:val="00350DD7"/>
    <w:rsid w:val="00351A8D"/>
    <w:rsid w:val="00354E53"/>
    <w:rsid w:val="00357A72"/>
    <w:rsid w:val="00357C36"/>
    <w:rsid w:val="00360384"/>
    <w:rsid w:val="00360B60"/>
    <w:rsid w:val="00360D3C"/>
    <w:rsid w:val="003611EB"/>
    <w:rsid w:val="00362AFE"/>
    <w:rsid w:val="00363FCC"/>
    <w:rsid w:val="003647D4"/>
    <w:rsid w:val="00364941"/>
    <w:rsid w:val="0037062E"/>
    <w:rsid w:val="00370684"/>
    <w:rsid w:val="0037130A"/>
    <w:rsid w:val="00372B96"/>
    <w:rsid w:val="003740E5"/>
    <w:rsid w:val="00374A6E"/>
    <w:rsid w:val="0037661E"/>
    <w:rsid w:val="00376EE2"/>
    <w:rsid w:val="00380591"/>
    <w:rsid w:val="00380CDF"/>
    <w:rsid w:val="003813DA"/>
    <w:rsid w:val="003816B4"/>
    <w:rsid w:val="0038170A"/>
    <w:rsid w:val="00381B6D"/>
    <w:rsid w:val="00381F58"/>
    <w:rsid w:val="00382F45"/>
    <w:rsid w:val="00383E9E"/>
    <w:rsid w:val="003843E9"/>
    <w:rsid w:val="00386197"/>
    <w:rsid w:val="003906D0"/>
    <w:rsid w:val="0039388F"/>
    <w:rsid w:val="003953CB"/>
    <w:rsid w:val="00396892"/>
    <w:rsid w:val="003A1A9E"/>
    <w:rsid w:val="003A206C"/>
    <w:rsid w:val="003A22E4"/>
    <w:rsid w:val="003A5E54"/>
    <w:rsid w:val="003A6018"/>
    <w:rsid w:val="003A71FE"/>
    <w:rsid w:val="003A7C30"/>
    <w:rsid w:val="003A7EFC"/>
    <w:rsid w:val="003B0FD4"/>
    <w:rsid w:val="003B1584"/>
    <w:rsid w:val="003B2DA3"/>
    <w:rsid w:val="003B36CC"/>
    <w:rsid w:val="003B4581"/>
    <w:rsid w:val="003B566C"/>
    <w:rsid w:val="003B667B"/>
    <w:rsid w:val="003B7E53"/>
    <w:rsid w:val="003C09EC"/>
    <w:rsid w:val="003C0DBC"/>
    <w:rsid w:val="003C2993"/>
    <w:rsid w:val="003C30E7"/>
    <w:rsid w:val="003C5B9C"/>
    <w:rsid w:val="003C68D8"/>
    <w:rsid w:val="003C6F2C"/>
    <w:rsid w:val="003D1DCA"/>
    <w:rsid w:val="003D2609"/>
    <w:rsid w:val="003D4552"/>
    <w:rsid w:val="003D4E56"/>
    <w:rsid w:val="003D5499"/>
    <w:rsid w:val="003D5EE2"/>
    <w:rsid w:val="003D6FA2"/>
    <w:rsid w:val="003E372C"/>
    <w:rsid w:val="003E476E"/>
    <w:rsid w:val="003E60CE"/>
    <w:rsid w:val="003E6B4C"/>
    <w:rsid w:val="003E7012"/>
    <w:rsid w:val="003E7BAC"/>
    <w:rsid w:val="003F0FC4"/>
    <w:rsid w:val="003F2352"/>
    <w:rsid w:val="003F4564"/>
    <w:rsid w:val="004034C5"/>
    <w:rsid w:val="00403ED9"/>
    <w:rsid w:val="00404A82"/>
    <w:rsid w:val="0040627C"/>
    <w:rsid w:val="004128F4"/>
    <w:rsid w:val="0041452E"/>
    <w:rsid w:val="00416D46"/>
    <w:rsid w:val="00416F39"/>
    <w:rsid w:val="00416F73"/>
    <w:rsid w:val="00417870"/>
    <w:rsid w:val="0042218C"/>
    <w:rsid w:val="0042335B"/>
    <w:rsid w:val="0042450A"/>
    <w:rsid w:val="0042516E"/>
    <w:rsid w:val="00425B8B"/>
    <w:rsid w:val="00425CC0"/>
    <w:rsid w:val="004274EC"/>
    <w:rsid w:val="0043088B"/>
    <w:rsid w:val="004324E8"/>
    <w:rsid w:val="00432E56"/>
    <w:rsid w:val="00433F75"/>
    <w:rsid w:val="0043401B"/>
    <w:rsid w:val="00434544"/>
    <w:rsid w:val="0043482D"/>
    <w:rsid w:val="00436557"/>
    <w:rsid w:val="00437DB2"/>
    <w:rsid w:val="0044054A"/>
    <w:rsid w:val="00440919"/>
    <w:rsid w:val="00441242"/>
    <w:rsid w:val="00441A44"/>
    <w:rsid w:val="00441C2E"/>
    <w:rsid w:val="00441E7C"/>
    <w:rsid w:val="00442CE8"/>
    <w:rsid w:val="00442D79"/>
    <w:rsid w:val="00443E76"/>
    <w:rsid w:val="00444341"/>
    <w:rsid w:val="00444617"/>
    <w:rsid w:val="00447227"/>
    <w:rsid w:val="004473B1"/>
    <w:rsid w:val="0045026A"/>
    <w:rsid w:val="004542EB"/>
    <w:rsid w:val="00455829"/>
    <w:rsid w:val="0045658E"/>
    <w:rsid w:val="004604FD"/>
    <w:rsid w:val="00460786"/>
    <w:rsid w:val="00460B98"/>
    <w:rsid w:val="00460C53"/>
    <w:rsid w:val="0046139F"/>
    <w:rsid w:val="00461C66"/>
    <w:rsid w:val="00462514"/>
    <w:rsid w:val="004639B5"/>
    <w:rsid w:val="0046443A"/>
    <w:rsid w:val="00465591"/>
    <w:rsid w:val="0046570D"/>
    <w:rsid w:val="00471FFF"/>
    <w:rsid w:val="004735BB"/>
    <w:rsid w:val="00473762"/>
    <w:rsid w:val="00474CFE"/>
    <w:rsid w:val="0047560A"/>
    <w:rsid w:val="00476B30"/>
    <w:rsid w:val="00476B88"/>
    <w:rsid w:val="00477852"/>
    <w:rsid w:val="00477A1D"/>
    <w:rsid w:val="004802DD"/>
    <w:rsid w:val="00481C7D"/>
    <w:rsid w:val="00481EB4"/>
    <w:rsid w:val="00481F1E"/>
    <w:rsid w:val="00482015"/>
    <w:rsid w:val="00483FDC"/>
    <w:rsid w:val="00484941"/>
    <w:rsid w:val="00485807"/>
    <w:rsid w:val="00486FA4"/>
    <w:rsid w:val="004874F1"/>
    <w:rsid w:val="004877CB"/>
    <w:rsid w:val="00490894"/>
    <w:rsid w:val="00490AA2"/>
    <w:rsid w:val="00491873"/>
    <w:rsid w:val="00495EC0"/>
    <w:rsid w:val="00495F10"/>
    <w:rsid w:val="00496923"/>
    <w:rsid w:val="00497175"/>
    <w:rsid w:val="004A0DA3"/>
    <w:rsid w:val="004A101A"/>
    <w:rsid w:val="004A180F"/>
    <w:rsid w:val="004A1DDA"/>
    <w:rsid w:val="004A6504"/>
    <w:rsid w:val="004A6C51"/>
    <w:rsid w:val="004A72E0"/>
    <w:rsid w:val="004A7408"/>
    <w:rsid w:val="004B012A"/>
    <w:rsid w:val="004B0D2E"/>
    <w:rsid w:val="004B1ED6"/>
    <w:rsid w:val="004B2FBE"/>
    <w:rsid w:val="004B38B7"/>
    <w:rsid w:val="004B48FE"/>
    <w:rsid w:val="004B537E"/>
    <w:rsid w:val="004B5DFC"/>
    <w:rsid w:val="004B5F09"/>
    <w:rsid w:val="004B6579"/>
    <w:rsid w:val="004B7016"/>
    <w:rsid w:val="004B7083"/>
    <w:rsid w:val="004B750D"/>
    <w:rsid w:val="004B785C"/>
    <w:rsid w:val="004C15FD"/>
    <w:rsid w:val="004C1A9E"/>
    <w:rsid w:val="004C5818"/>
    <w:rsid w:val="004C631E"/>
    <w:rsid w:val="004D1BF8"/>
    <w:rsid w:val="004D5AA3"/>
    <w:rsid w:val="004D618D"/>
    <w:rsid w:val="004D66A2"/>
    <w:rsid w:val="004D67F1"/>
    <w:rsid w:val="004D750B"/>
    <w:rsid w:val="004D7DD3"/>
    <w:rsid w:val="004E2F56"/>
    <w:rsid w:val="004E3871"/>
    <w:rsid w:val="004E45AF"/>
    <w:rsid w:val="004E6163"/>
    <w:rsid w:val="004E6AFC"/>
    <w:rsid w:val="004E7453"/>
    <w:rsid w:val="004E7924"/>
    <w:rsid w:val="004E7D46"/>
    <w:rsid w:val="004E7EB0"/>
    <w:rsid w:val="004F066E"/>
    <w:rsid w:val="004F14E6"/>
    <w:rsid w:val="004F2AAF"/>
    <w:rsid w:val="004F3116"/>
    <w:rsid w:val="004F4283"/>
    <w:rsid w:val="004F4ED1"/>
    <w:rsid w:val="004F4F90"/>
    <w:rsid w:val="00500A8C"/>
    <w:rsid w:val="00501B3B"/>
    <w:rsid w:val="00501E4D"/>
    <w:rsid w:val="00502528"/>
    <w:rsid w:val="00502A29"/>
    <w:rsid w:val="00502A52"/>
    <w:rsid w:val="00502DA5"/>
    <w:rsid w:val="00502F46"/>
    <w:rsid w:val="0050345C"/>
    <w:rsid w:val="00507D97"/>
    <w:rsid w:val="00510004"/>
    <w:rsid w:val="005105C5"/>
    <w:rsid w:val="00514986"/>
    <w:rsid w:val="005157D5"/>
    <w:rsid w:val="00515E2E"/>
    <w:rsid w:val="00515EF1"/>
    <w:rsid w:val="00516617"/>
    <w:rsid w:val="00517925"/>
    <w:rsid w:val="00517A88"/>
    <w:rsid w:val="00522CB5"/>
    <w:rsid w:val="00523357"/>
    <w:rsid w:val="00524175"/>
    <w:rsid w:val="00525003"/>
    <w:rsid w:val="00526E05"/>
    <w:rsid w:val="0052705C"/>
    <w:rsid w:val="00527C98"/>
    <w:rsid w:val="0053096A"/>
    <w:rsid w:val="0053219F"/>
    <w:rsid w:val="005333E0"/>
    <w:rsid w:val="0053340D"/>
    <w:rsid w:val="00533477"/>
    <w:rsid w:val="005339BD"/>
    <w:rsid w:val="00533A84"/>
    <w:rsid w:val="00534A4D"/>
    <w:rsid w:val="00534B88"/>
    <w:rsid w:val="005350B4"/>
    <w:rsid w:val="00536214"/>
    <w:rsid w:val="00537DE1"/>
    <w:rsid w:val="005442AF"/>
    <w:rsid w:val="00545229"/>
    <w:rsid w:val="005459BB"/>
    <w:rsid w:val="00545CC4"/>
    <w:rsid w:val="00545D20"/>
    <w:rsid w:val="00546962"/>
    <w:rsid w:val="00546A66"/>
    <w:rsid w:val="00547770"/>
    <w:rsid w:val="00550A4D"/>
    <w:rsid w:val="00550E29"/>
    <w:rsid w:val="005513BB"/>
    <w:rsid w:val="00551830"/>
    <w:rsid w:val="00551CCE"/>
    <w:rsid w:val="00552D70"/>
    <w:rsid w:val="00553533"/>
    <w:rsid w:val="00553749"/>
    <w:rsid w:val="00555B63"/>
    <w:rsid w:val="00560118"/>
    <w:rsid w:val="005612D2"/>
    <w:rsid w:val="00561515"/>
    <w:rsid w:val="00561A38"/>
    <w:rsid w:val="0056261F"/>
    <w:rsid w:val="0056472A"/>
    <w:rsid w:val="005651A6"/>
    <w:rsid w:val="0057079D"/>
    <w:rsid w:val="00570F31"/>
    <w:rsid w:val="00572E1E"/>
    <w:rsid w:val="0057391F"/>
    <w:rsid w:val="00573DCF"/>
    <w:rsid w:val="00576586"/>
    <w:rsid w:val="005772AE"/>
    <w:rsid w:val="00580010"/>
    <w:rsid w:val="0058197A"/>
    <w:rsid w:val="00583D80"/>
    <w:rsid w:val="00583F95"/>
    <w:rsid w:val="00584844"/>
    <w:rsid w:val="00584FD5"/>
    <w:rsid w:val="00585671"/>
    <w:rsid w:val="00590972"/>
    <w:rsid w:val="00590EDF"/>
    <w:rsid w:val="00590F00"/>
    <w:rsid w:val="00591C70"/>
    <w:rsid w:val="00591F26"/>
    <w:rsid w:val="00593EE7"/>
    <w:rsid w:val="0059497B"/>
    <w:rsid w:val="00595320"/>
    <w:rsid w:val="005959BE"/>
    <w:rsid w:val="00595E75"/>
    <w:rsid w:val="0059640F"/>
    <w:rsid w:val="00596D26"/>
    <w:rsid w:val="0059784F"/>
    <w:rsid w:val="005A0EA8"/>
    <w:rsid w:val="005A0F7E"/>
    <w:rsid w:val="005A1FDE"/>
    <w:rsid w:val="005A24CF"/>
    <w:rsid w:val="005A2500"/>
    <w:rsid w:val="005A361C"/>
    <w:rsid w:val="005A3FB6"/>
    <w:rsid w:val="005A4A0B"/>
    <w:rsid w:val="005A73ED"/>
    <w:rsid w:val="005B1A6B"/>
    <w:rsid w:val="005B2DE4"/>
    <w:rsid w:val="005B2FB0"/>
    <w:rsid w:val="005B46A6"/>
    <w:rsid w:val="005B484C"/>
    <w:rsid w:val="005B6010"/>
    <w:rsid w:val="005B6173"/>
    <w:rsid w:val="005C1EE9"/>
    <w:rsid w:val="005C264B"/>
    <w:rsid w:val="005C361E"/>
    <w:rsid w:val="005C3A73"/>
    <w:rsid w:val="005C5F7A"/>
    <w:rsid w:val="005D0253"/>
    <w:rsid w:val="005D06E6"/>
    <w:rsid w:val="005D1371"/>
    <w:rsid w:val="005D24A0"/>
    <w:rsid w:val="005D32F0"/>
    <w:rsid w:val="005D49B2"/>
    <w:rsid w:val="005D76EE"/>
    <w:rsid w:val="005D7AB4"/>
    <w:rsid w:val="005D7B01"/>
    <w:rsid w:val="005D7C17"/>
    <w:rsid w:val="005D7E44"/>
    <w:rsid w:val="005E0970"/>
    <w:rsid w:val="005E1D42"/>
    <w:rsid w:val="005E2ECB"/>
    <w:rsid w:val="005E43DD"/>
    <w:rsid w:val="005E48CE"/>
    <w:rsid w:val="005E526D"/>
    <w:rsid w:val="005F0843"/>
    <w:rsid w:val="005F12D2"/>
    <w:rsid w:val="005F1B2F"/>
    <w:rsid w:val="005F2017"/>
    <w:rsid w:val="005F5E4E"/>
    <w:rsid w:val="005F6479"/>
    <w:rsid w:val="005F7449"/>
    <w:rsid w:val="00600479"/>
    <w:rsid w:val="0060263D"/>
    <w:rsid w:val="00602960"/>
    <w:rsid w:val="00602FD2"/>
    <w:rsid w:val="006035C8"/>
    <w:rsid w:val="00604C7A"/>
    <w:rsid w:val="00604FC9"/>
    <w:rsid w:val="00605511"/>
    <w:rsid w:val="00605E62"/>
    <w:rsid w:val="00606AB5"/>
    <w:rsid w:val="0060745E"/>
    <w:rsid w:val="006112EB"/>
    <w:rsid w:val="0061240B"/>
    <w:rsid w:val="00612890"/>
    <w:rsid w:val="00613A8D"/>
    <w:rsid w:val="00614362"/>
    <w:rsid w:val="006158C5"/>
    <w:rsid w:val="006158D6"/>
    <w:rsid w:val="00615AE6"/>
    <w:rsid w:val="00617853"/>
    <w:rsid w:val="006203D0"/>
    <w:rsid w:val="00620875"/>
    <w:rsid w:val="006209E4"/>
    <w:rsid w:val="006212DD"/>
    <w:rsid w:val="006217D6"/>
    <w:rsid w:val="00621D78"/>
    <w:rsid w:val="00623F5A"/>
    <w:rsid w:val="006248B4"/>
    <w:rsid w:val="00624C28"/>
    <w:rsid w:val="0063145D"/>
    <w:rsid w:val="006352BF"/>
    <w:rsid w:val="00635743"/>
    <w:rsid w:val="00636BB2"/>
    <w:rsid w:val="00640BFA"/>
    <w:rsid w:val="00644389"/>
    <w:rsid w:val="00644528"/>
    <w:rsid w:val="00646437"/>
    <w:rsid w:val="0065018A"/>
    <w:rsid w:val="00651639"/>
    <w:rsid w:val="0065254F"/>
    <w:rsid w:val="0065378B"/>
    <w:rsid w:val="006570EF"/>
    <w:rsid w:val="0065718F"/>
    <w:rsid w:val="006575AD"/>
    <w:rsid w:val="00657603"/>
    <w:rsid w:val="006602C6"/>
    <w:rsid w:val="00661D25"/>
    <w:rsid w:val="006636AD"/>
    <w:rsid w:val="00665FCC"/>
    <w:rsid w:val="00667FD7"/>
    <w:rsid w:val="0067050B"/>
    <w:rsid w:val="006710A8"/>
    <w:rsid w:val="0067112C"/>
    <w:rsid w:val="00671F76"/>
    <w:rsid w:val="00674C9F"/>
    <w:rsid w:val="00675341"/>
    <w:rsid w:val="006765F9"/>
    <w:rsid w:val="00676D92"/>
    <w:rsid w:val="0067753A"/>
    <w:rsid w:val="00677F40"/>
    <w:rsid w:val="006800A4"/>
    <w:rsid w:val="006823A5"/>
    <w:rsid w:val="006826B0"/>
    <w:rsid w:val="00682B78"/>
    <w:rsid w:val="00683F19"/>
    <w:rsid w:val="00684C8D"/>
    <w:rsid w:val="006856C5"/>
    <w:rsid w:val="00685D60"/>
    <w:rsid w:val="00690092"/>
    <w:rsid w:val="00690C0A"/>
    <w:rsid w:val="00691074"/>
    <w:rsid w:val="0069332C"/>
    <w:rsid w:val="00693E8F"/>
    <w:rsid w:val="00694164"/>
    <w:rsid w:val="006942D0"/>
    <w:rsid w:val="00694463"/>
    <w:rsid w:val="006979BE"/>
    <w:rsid w:val="006A1532"/>
    <w:rsid w:val="006A35BB"/>
    <w:rsid w:val="006A4437"/>
    <w:rsid w:val="006A4D24"/>
    <w:rsid w:val="006A4D84"/>
    <w:rsid w:val="006A4E8C"/>
    <w:rsid w:val="006A66A7"/>
    <w:rsid w:val="006A6C45"/>
    <w:rsid w:val="006B01E1"/>
    <w:rsid w:val="006B16BA"/>
    <w:rsid w:val="006B195F"/>
    <w:rsid w:val="006B3BEE"/>
    <w:rsid w:val="006B4126"/>
    <w:rsid w:val="006B5543"/>
    <w:rsid w:val="006B68AF"/>
    <w:rsid w:val="006B7D70"/>
    <w:rsid w:val="006C1599"/>
    <w:rsid w:val="006C1C1F"/>
    <w:rsid w:val="006C3140"/>
    <w:rsid w:val="006C48BC"/>
    <w:rsid w:val="006C5A92"/>
    <w:rsid w:val="006C6658"/>
    <w:rsid w:val="006C668D"/>
    <w:rsid w:val="006C6862"/>
    <w:rsid w:val="006C7F1F"/>
    <w:rsid w:val="006D15DD"/>
    <w:rsid w:val="006D21CE"/>
    <w:rsid w:val="006D6C27"/>
    <w:rsid w:val="006D713B"/>
    <w:rsid w:val="006D7563"/>
    <w:rsid w:val="006E2EE0"/>
    <w:rsid w:val="006E3190"/>
    <w:rsid w:val="006E3C59"/>
    <w:rsid w:val="006E54D6"/>
    <w:rsid w:val="006E56F6"/>
    <w:rsid w:val="006E5806"/>
    <w:rsid w:val="006E5E07"/>
    <w:rsid w:val="006F1524"/>
    <w:rsid w:val="006F386A"/>
    <w:rsid w:val="006F3F76"/>
    <w:rsid w:val="006F414A"/>
    <w:rsid w:val="006F5306"/>
    <w:rsid w:val="00702A83"/>
    <w:rsid w:val="0070363E"/>
    <w:rsid w:val="00706A3C"/>
    <w:rsid w:val="007072DE"/>
    <w:rsid w:val="00707640"/>
    <w:rsid w:val="00710360"/>
    <w:rsid w:val="007119F7"/>
    <w:rsid w:val="00712057"/>
    <w:rsid w:val="0071295E"/>
    <w:rsid w:val="00713F7B"/>
    <w:rsid w:val="00715514"/>
    <w:rsid w:val="00716375"/>
    <w:rsid w:val="00716840"/>
    <w:rsid w:val="00717788"/>
    <w:rsid w:val="007205E2"/>
    <w:rsid w:val="00720975"/>
    <w:rsid w:val="00720AF1"/>
    <w:rsid w:val="00720BAB"/>
    <w:rsid w:val="00722522"/>
    <w:rsid w:val="00723C17"/>
    <w:rsid w:val="0072437A"/>
    <w:rsid w:val="00724468"/>
    <w:rsid w:val="00724730"/>
    <w:rsid w:val="00724852"/>
    <w:rsid w:val="007266BF"/>
    <w:rsid w:val="00730BFE"/>
    <w:rsid w:val="00732454"/>
    <w:rsid w:val="00732987"/>
    <w:rsid w:val="007331D5"/>
    <w:rsid w:val="00736C38"/>
    <w:rsid w:val="00737433"/>
    <w:rsid w:val="00737E0F"/>
    <w:rsid w:val="00740B41"/>
    <w:rsid w:val="007431AB"/>
    <w:rsid w:val="00743C9E"/>
    <w:rsid w:val="00745A2B"/>
    <w:rsid w:val="00747F6D"/>
    <w:rsid w:val="00750209"/>
    <w:rsid w:val="007502CE"/>
    <w:rsid w:val="00750443"/>
    <w:rsid w:val="00750684"/>
    <w:rsid w:val="0075069D"/>
    <w:rsid w:val="00751566"/>
    <w:rsid w:val="00752042"/>
    <w:rsid w:val="0075251F"/>
    <w:rsid w:val="007540BB"/>
    <w:rsid w:val="00754591"/>
    <w:rsid w:val="0075499B"/>
    <w:rsid w:val="007552C1"/>
    <w:rsid w:val="00755711"/>
    <w:rsid w:val="0075620A"/>
    <w:rsid w:val="00757322"/>
    <w:rsid w:val="00757762"/>
    <w:rsid w:val="007637ED"/>
    <w:rsid w:val="00764900"/>
    <w:rsid w:val="00764D57"/>
    <w:rsid w:val="0076531E"/>
    <w:rsid w:val="007733A7"/>
    <w:rsid w:val="00774415"/>
    <w:rsid w:val="00777F53"/>
    <w:rsid w:val="0078443B"/>
    <w:rsid w:val="0078472B"/>
    <w:rsid w:val="007848D9"/>
    <w:rsid w:val="007859DD"/>
    <w:rsid w:val="0078678E"/>
    <w:rsid w:val="007906CF"/>
    <w:rsid w:val="00791EAC"/>
    <w:rsid w:val="00793A94"/>
    <w:rsid w:val="007955D7"/>
    <w:rsid w:val="00797362"/>
    <w:rsid w:val="0079790B"/>
    <w:rsid w:val="007A0A44"/>
    <w:rsid w:val="007A43C3"/>
    <w:rsid w:val="007A46D1"/>
    <w:rsid w:val="007A4B70"/>
    <w:rsid w:val="007A67AF"/>
    <w:rsid w:val="007A7584"/>
    <w:rsid w:val="007A77DC"/>
    <w:rsid w:val="007A7EBA"/>
    <w:rsid w:val="007B041C"/>
    <w:rsid w:val="007B0BFD"/>
    <w:rsid w:val="007B0DD5"/>
    <w:rsid w:val="007B1019"/>
    <w:rsid w:val="007B124F"/>
    <w:rsid w:val="007B18E8"/>
    <w:rsid w:val="007B1B51"/>
    <w:rsid w:val="007B3A15"/>
    <w:rsid w:val="007B4588"/>
    <w:rsid w:val="007B5BDF"/>
    <w:rsid w:val="007B6563"/>
    <w:rsid w:val="007B675A"/>
    <w:rsid w:val="007B761E"/>
    <w:rsid w:val="007B7699"/>
    <w:rsid w:val="007B7969"/>
    <w:rsid w:val="007C3A2C"/>
    <w:rsid w:val="007C4945"/>
    <w:rsid w:val="007C585F"/>
    <w:rsid w:val="007C64F5"/>
    <w:rsid w:val="007C6E63"/>
    <w:rsid w:val="007C7153"/>
    <w:rsid w:val="007D1546"/>
    <w:rsid w:val="007D1C24"/>
    <w:rsid w:val="007D3D5C"/>
    <w:rsid w:val="007E4654"/>
    <w:rsid w:val="007E5DF2"/>
    <w:rsid w:val="007F1181"/>
    <w:rsid w:val="007F1E24"/>
    <w:rsid w:val="007F3968"/>
    <w:rsid w:val="007F4059"/>
    <w:rsid w:val="007F5CA6"/>
    <w:rsid w:val="007F64A4"/>
    <w:rsid w:val="007F6D9E"/>
    <w:rsid w:val="007F7976"/>
    <w:rsid w:val="0080289C"/>
    <w:rsid w:val="00804A06"/>
    <w:rsid w:val="00804BD2"/>
    <w:rsid w:val="008074FC"/>
    <w:rsid w:val="00811D5E"/>
    <w:rsid w:val="008127E9"/>
    <w:rsid w:val="00813F0A"/>
    <w:rsid w:val="00816F91"/>
    <w:rsid w:val="00817C93"/>
    <w:rsid w:val="00817FBA"/>
    <w:rsid w:val="00820476"/>
    <w:rsid w:val="00821D14"/>
    <w:rsid w:val="008246DF"/>
    <w:rsid w:val="00825B6F"/>
    <w:rsid w:val="0083075C"/>
    <w:rsid w:val="00831012"/>
    <w:rsid w:val="00833D4B"/>
    <w:rsid w:val="0083431E"/>
    <w:rsid w:val="0083441A"/>
    <w:rsid w:val="00834BB5"/>
    <w:rsid w:val="00834D4B"/>
    <w:rsid w:val="00835586"/>
    <w:rsid w:val="008371BD"/>
    <w:rsid w:val="00837544"/>
    <w:rsid w:val="00837B39"/>
    <w:rsid w:val="00840171"/>
    <w:rsid w:val="00840BFA"/>
    <w:rsid w:val="00840ECC"/>
    <w:rsid w:val="00842AB9"/>
    <w:rsid w:val="0084321C"/>
    <w:rsid w:val="00843818"/>
    <w:rsid w:val="00846707"/>
    <w:rsid w:val="008473AF"/>
    <w:rsid w:val="00847413"/>
    <w:rsid w:val="00851982"/>
    <w:rsid w:val="00853C92"/>
    <w:rsid w:val="008551C4"/>
    <w:rsid w:val="00856010"/>
    <w:rsid w:val="008565E7"/>
    <w:rsid w:val="00856AFE"/>
    <w:rsid w:val="008575F4"/>
    <w:rsid w:val="00860D3B"/>
    <w:rsid w:val="008623ED"/>
    <w:rsid w:val="00862F00"/>
    <w:rsid w:val="00863818"/>
    <w:rsid w:val="00865C08"/>
    <w:rsid w:val="008660E5"/>
    <w:rsid w:val="00866615"/>
    <w:rsid w:val="008710C6"/>
    <w:rsid w:val="00873BCA"/>
    <w:rsid w:val="008749D3"/>
    <w:rsid w:val="0087542C"/>
    <w:rsid w:val="008754DA"/>
    <w:rsid w:val="008757D5"/>
    <w:rsid w:val="00875FD7"/>
    <w:rsid w:val="00884E4D"/>
    <w:rsid w:val="008864D5"/>
    <w:rsid w:val="008865EE"/>
    <w:rsid w:val="0088688A"/>
    <w:rsid w:val="008870F3"/>
    <w:rsid w:val="00890C07"/>
    <w:rsid w:val="00890CD1"/>
    <w:rsid w:val="0089113A"/>
    <w:rsid w:val="00894BDB"/>
    <w:rsid w:val="008951EB"/>
    <w:rsid w:val="00895FFC"/>
    <w:rsid w:val="008A2045"/>
    <w:rsid w:val="008A2CE4"/>
    <w:rsid w:val="008A3037"/>
    <w:rsid w:val="008A3A42"/>
    <w:rsid w:val="008A3E8A"/>
    <w:rsid w:val="008A41A0"/>
    <w:rsid w:val="008A5A38"/>
    <w:rsid w:val="008A75BB"/>
    <w:rsid w:val="008B0873"/>
    <w:rsid w:val="008B0CC9"/>
    <w:rsid w:val="008B21F8"/>
    <w:rsid w:val="008B2EAF"/>
    <w:rsid w:val="008B41E6"/>
    <w:rsid w:val="008B4630"/>
    <w:rsid w:val="008B60E9"/>
    <w:rsid w:val="008B775B"/>
    <w:rsid w:val="008C1080"/>
    <w:rsid w:val="008C10EE"/>
    <w:rsid w:val="008C170C"/>
    <w:rsid w:val="008C1F23"/>
    <w:rsid w:val="008C32AC"/>
    <w:rsid w:val="008C4099"/>
    <w:rsid w:val="008C5DF3"/>
    <w:rsid w:val="008C6098"/>
    <w:rsid w:val="008D2F2C"/>
    <w:rsid w:val="008D30B1"/>
    <w:rsid w:val="008D330F"/>
    <w:rsid w:val="008D5BA4"/>
    <w:rsid w:val="008D62A5"/>
    <w:rsid w:val="008E1F9F"/>
    <w:rsid w:val="008E26BD"/>
    <w:rsid w:val="008E45B0"/>
    <w:rsid w:val="008E72B7"/>
    <w:rsid w:val="008E7787"/>
    <w:rsid w:val="008E7999"/>
    <w:rsid w:val="008F06FE"/>
    <w:rsid w:val="008F1DDA"/>
    <w:rsid w:val="008F257D"/>
    <w:rsid w:val="008F2949"/>
    <w:rsid w:val="008F32BA"/>
    <w:rsid w:val="008F385B"/>
    <w:rsid w:val="008F400F"/>
    <w:rsid w:val="008F4636"/>
    <w:rsid w:val="008F5471"/>
    <w:rsid w:val="008F6146"/>
    <w:rsid w:val="008F69BD"/>
    <w:rsid w:val="008F739B"/>
    <w:rsid w:val="008F77F9"/>
    <w:rsid w:val="008F7D3D"/>
    <w:rsid w:val="00900311"/>
    <w:rsid w:val="00900BF9"/>
    <w:rsid w:val="00900DB9"/>
    <w:rsid w:val="00901B63"/>
    <w:rsid w:val="00905042"/>
    <w:rsid w:val="009054E2"/>
    <w:rsid w:val="00907766"/>
    <w:rsid w:val="00910C7B"/>
    <w:rsid w:val="0091158F"/>
    <w:rsid w:val="00911DD5"/>
    <w:rsid w:val="00913BC5"/>
    <w:rsid w:val="00913CD7"/>
    <w:rsid w:val="00915242"/>
    <w:rsid w:val="009168F6"/>
    <w:rsid w:val="00916C02"/>
    <w:rsid w:val="009170EC"/>
    <w:rsid w:val="00917128"/>
    <w:rsid w:val="009177C2"/>
    <w:rsid w:val="00923CDE"/>
    <w:rsid w:val="00926E9D"/>
    <w:rsid w:val="00930187"/>
    <w:rsid w:val="00930B2F"/>
    <w:rsid w:val="00933A31"/>
    <w:rsid w:val="0093460F"/>
    <w:rsid w:val="009358FF"/>
    <w:rsid w:val="00936E1D"/>
    <w:rsid w:val="00937BE6"/>
    <w:rsid w:val="009404AA"/>
    <w:rsid w:val="009413C1"/>
    <w:rsid w:val="00941E6F"/>
    <w:rsid w:val="009424FE"/>
    <w:rsid w:val="00942E19"/>
    <w:rsid w:val="00942E34"/>
    <w:rsid w:val="00944003"/>
    <w:rsid w:val="0094434E"/>
    <w:rsid w:val="009444B7"/>
    <w:rsid w:val="00944AEB"/>
    <w:rsid w:val="00944EC9"/>
    <w:rsid w:val="009462B5"/>
    <w:rsid w:val="009500C3"/>
    <w:rsid w:val="0095113C"/>
    <w:rsid w:val="00952437"/>
    <w:rsid w:val="00953476"/>
    <w:rsid w:val="00953EFF"/>
    <w:rsid w:val="009540BD"/>
    <w:rsid w:val="00954FBA"/>
    <w:rsid w:val="00955B43"/>
    <w:rsid w:val="009563FC"/>
    <w:rsid w:val="0095768A"/>
    <w:rsid w:val="0096045F"/>
    <w:rsid w:val="0096109A"/>
    <w:rsid w:val="00961DA7"/>
    <w:rsid w:val="00962129"/>
    <w:rsid w:val="00962177"/>
    <w:rsid w:val="00962A39"/>
    <w:rsid w:val="009630E4"/>
    <w:rsid w:val="00963354"/>
    <w:rsid w:val="0096355A"/>
    <w:rsid w:val="00964120"/>
    <w:rsid w:val="009643DF"/>
    <w:rsid w:val="00965353"/>
    <w:rsid w:val="00966FE7"/>
    <w:rsid w:val="009707F1"/>
    <w:rsid w:val="009729B2"/>
    <w:rsid w:val="0097453C"/>
    <w:rsid w:val="009750C3"/>
    <w:rsid w:val="0097632D"/>
    <w:rsid w:val="00980A53"/>
    <w:rsid w:val="00980AD7"/>
    <w:rsid w:val="00981E7C"/>
    <w:rsid w:val="009822C8"/>
    <w:rsid w:val="00982953"/>
    <w:rsid w:val="00983E77"/>
    <w:rsid w:val="00984398"/>
    <w:rsid w:val="00986C64"/>
    <w:rsid w:val="009919C5"/>
    <w:rsid w:val="00991FAC"/>
    <w:rsid w:val="0099232D"/>
    <w:rsid w:val="00993388"/>
    <w:rsid w:val="0099449C"/>
    <w:rsid w:val="009947A6"/>
    <w:rsid w:val="0099482E"/>
    <w:rsid w:val="00995118"/>
    <w:rsid w:val="0099572D"/>
    <w:rsid w:val="009960A0"/>
    <w:rsid w:val="009966B6"/>
    <w:rsid w:val="00997F5A"/>
    <w:rsid w:val="009A0268"/>
    <w:rsid w:val="009A0C06"/>
    <w:rsid w:val="009A163A"/>
    <w:rsid w:val="009A1CE0"/>
    <w:rsid w:val="009A231C"/>
    <w:rsid w:val="009A23AA"/>
    <w:rsid w:val="009A343F"/>
    <w:rsid w:val="009A50F4"/>
    <w:rsid w:val="009B1540"/>
    <w:rsid w:val="009B191C"/>
    <w:rsid w:val="009B1EC0"/>
    <w:rsid w:val="009B2979"/>
    <w:rsid w:val="009B2A34"/>
    <w:rsid w:val="009B384A"/>
    <w:rsid w:val="009B6E90"/>
    <w:rsid w:val="009C1285"/>
    <w:rsid w:val="009C2073"/>
    <w:rsid w:val="009C41D2"/>
    <w:rsid w:val="009C4696"/>
    <w:rsid w:val="009C4B11"/>
    <w:rsid w:val="009C501C"/>
    <w:rsid w:val="009C753E"/>
    <w:rsid w:val="009D3496"/>
    <w:rsid w:val="009D4D47"/>
    <w:rsid w:val="009D5A90"/>
    <w:rsid w:val="009E25EB"/>
    <w:rsid w:val="009E3175"/>
    <w:rsid w:val="009E3217"/>
    <w:rsid w:val="009E36BB"/>
    <w:rsid w:val="009F1863"/>
    <w:rsid w:val="009F189B"/>
    <w:rsid w:val="009F2DB3"/>
    <w:rsid w:val="009F33B5"/>
    <w:rsid w:val="009F3A8F"/>
    <w:rsid w:val="009F44FF"/>
    <w:rsid w:val="009F4613"/>
    <w:rsid w:val="009F56BC"/>
    <w:rsid w:val="009F570F"/>
    <w:rsid w:val="009F6EA9"/>
    <w:rsid w:val="009F7186"/>
    <w:rsid w:val="00A014F5"/>
    <w:rsid w:val="00A01924"/>
    <w:rsid w:val="00A01ED5"/>
    <w:rsid w:val="00A028F3"/>
    <w:rsid w:val="00A041E7"/>
    <w:rsid w:val="00A056F9"/>
    <w:rsid w:val="00A05C1A"/>
    <w:rsid w:val="00A06836"/>
    <w:rsid w:val="00A07729"/>
    <w:rsid w:val="00A10050"/>
    <w:rsid w:val="00A11651"/>
    <w:rsid w:val="00A11C88"/>
    <w:rsid w:val="00A13B01"/>
    <w:rsid w:val="00A13D80"/>
    <w:rsid w:val="00A15427"/>
    <w:rsid w:val="00A20030"/>
    <w:rsid w:val="00A218B3"/>
    <w:rsid w:val="00A2254E"/>
    <w:rsid w:val="00A231E3"/>
    <w:rsid w:val="00A2324A"/>
    <w:rsid w:val="00A23C0C"/>
    <w:rsid w:val="00A23CD3"/>
    <w:rsid w:val="00A24067"/>
    <w:rsid w:val="00A24645"/>
    <w:rsid w:val="00A2475C"/>
    <w:rsid w:val="00A25126"/>
    <w:rsid w:val="00A2597E"/>
    <w:rsid w:val="00A26B7E"/>
    <w:rsid w:val="00A27BEA"/>
    <w:rsid w:val="00A305CA"/>
    <w:rsid w:val="00A31F48"/>
    <w:rsid w:val="00A32FEE"/>
    <w:rsid w:val="00A339FF"/>
    <w:rsid w:val="00A33A21"/>
    <w:rsid w:val="00A33B6F"/>
    <w:rsid w:val="00A33E55"/>
    <w:rsid w:val="00A3506A"/>
    <w:rsid w:val="00A35D76"/>
    <w:rsid w:val="00A368AC"/>
    <w:rsid w:val="00A372C7"/>
    <w:rsid w:val="00A3795B"/>
    <w:rsid w:val="00A402DE"/>
    <w:rsid w:val="00A407BB"/>
    <w:rsid w:val="00A40C67"/>
    <w:rsid w:val="00A41669"/>
    <w:rsid w:val="00A428F2"/>
    <w:rsid w:val="00A43225"/>
    <w:rsid w:val="00A43F75"/>
    <w:rsid w:val="00A449E6"/>
    <w:rsid w:val="00A45262"/>
    <w:rsid w:val="00A4722D"/>
    <w:rsid w:val="00A474C5"/>
    <w:rsid w:val="00A4788D"/>
    <w:rsid w:val="00A52B75"/>
    <w:rsid w:val="00A52D5F"/>
    <w:rsid w:val="00A5497C"/>
    <w:rsid w:val="00A54AF2"/>
    <w:rsid w:val="00A54D53"/>
    <w:rsid w:val="00A55E42"/>
    <w:rsid w:val="00A5674A"/>
    <w:rsid w:val="00A577B2"/>
    <w:rsid w:val="00A57DE5"/>
    <w:rsid w:val="00A605DF"/>
    <w:rsid w:val="00A612A1"/>
    <w:rsid w:val="00A61F2A"/>
    <w:rsid w:val="00A61F87"/>
    <w:rsid w:val="00A624B6"/>
    <w:rsid w:val="00A62CF0"/>
    <w:rsid w:val="00A6476E"/>
    <w:rsid w:val="00A66070"/>
    <w:rsid w:val="00A66490"/>
    <w:rsid w:val="00A66CB5"/>
    <w:rsid w:val="00A67BAF"/>
    <w:rsid w:val="00A70072"/>
    <w:rsid w:val="00A701B4"/>
    <w:rsid w:val="00A7252B"/>
    <w:rsid w:val="00A75520"/>
    <w:rsid w:val="00A755BD"/>
    <w:rsid w:val="00A75C66"/>
    <w:rsid w:val="00A76243"/>
    <w:rsid w:val="00A76D8B"/>
    <w:rsid w:val="00A77193"/>
    <w:rsid w:val="00A77A7E"/>
    <w:rsid w:val="00A77DEE"/>
    <w:rsid w:val="00A807BE"/>
    <w:rsid w:val="00A84476"/>
    <w:rsid w:val="00A85356"/>
    <w:rsid w:val="00A85551"/>
    <w:rsid w:val="00A85B62"/>
    <w:rsid w:val="00A86A4D"/>
    <w:rsid w:val="00A90C88"/>
    <w:rsid w:val="00A90CC5"/>
    <w:rsid w:val="00A918FF"/>
    <w:rsid w:val="00A91FEF"/>
    <w:rsid w:val="00A95D22"/>
    <w:rsid w:val="00AA0C70"/>
    <w:rsid w:val="00AA1222"/>
    <w:rsid w:val="00AA2EB4"/>
    <w:rsid w:val="00AA5074"/>
    <w:rsid w:val="00AA51AB"/>
    <w:rsid w:val="00AA5BB6"/>
    <w:rsid w:val="00AA622E"/>
    <w:rsid w:val="00AA7AF5"/>
    <w:rsid w:val="00AA7C12"/>
    <w:rsid w:val="00AB0994"/>
    <w:rsid w:val="00AB0C33"/>
    <w:rsid w:val="00AB3000"/>
    <w:rsid w:val="00AB4E63"/>
    <w:rsid w:val="00AB55C4"/>
    <w:rsid w:val="00AB61D3"/>
    <w:rsid w:val="00AB6A04"/>
    <w:rsid w:val="00AB6D78"/>
    <w:rsid w:val="00AB7976"/>
    <w:rsid w:val="00AC318D"/>
    <w:rsid w:val="00AC3FE7"/>
    <w:rsid w:val="00AC44F7"/>
    <w:rsid w:val="00AC4D1E"/>
    <w:rsid w:val="00AC524E"/>
    <w:rsid w:val="00AC68A8"/>
    <w:rsid w:val="00AD15F6"/>
    <w:rsid w:val="00AD1684"/>
    <w:rsid w:val="00AD30D9"/>
    <w:rsid w:val="00AD3C3A"/>
    <w:rsid w:val="00AD3DB3"/>
    <w:rsid w:val="00AD44CB"/>
    <w:rsid w:val="00AD4D39"/>
    <w:rsid w:val="00AD766E"/>
    <w:rsid w:val="00AE1464"/>
    <w:rsid w:val="00AE25B7"/>
    <w:rsid w:val="00AE2976"/>
    <w:rsid w:val="00AE36B2"/>
    <w:rsid w:val="00AE41BF"/>
    <w:rsid w:val="00AE42BF"/>
    <w:rsid w:val="00AE5836"/>
    <w:rsid w:val="00AF08AC"/>
    <w:rsid w:val="00AF0930"/>
    <w:rsid w:val="00AF1FCF"/>
    <w:rsid w:val="00AF2347"/>
    <w:rsid w:val="00AF31A0"/>
    <w:rsid w:val="00AF33EA"/>
    <w:rsid w:val="00AF39CD"/>
    <w:rsid w:val="00B0092C"/>
    <w:rsid w:val="00B0359A"/>
    <w:rsid w:val="00B044AC"/>
    <w:rsid w:val="00B05185"/>
    <w:rsid w:val="00B07314"/>
    <w:rsid w:val="00B10EAA"/>
    <w:rsid w:val="00B11648"/>
    <w:rsid w:val="00B11946"/>
    <w:rsid w:val="00B11985"/>
    <w:rsid w:val="00B135E3"/>
    <w:rsid w:val="00B138A3"/>
    <w:rsid w:val="00B15B4F"/>
    <w:rsid w:val="00B15F16"/>
    <w:rsid w:val="00B16299"/>
    <w:rsid w:val="00B169C4"/>
    <w:rsid w:val="00B17514"/>
    <w:rsid w:val="00B1792A"/>
    <w:rsid w:val="00B217AF"/>
    <w:rsid w:val="00B23617"/>
    <w:rsid w:val="00B2428B"/>
    <w:rsid w:val="00B24EA1"/>
    <w:rsid w:val="00B252AC"/>
    <w:rsid w:val="00B31C29"/>
    <w:rsid w:val="00B31D46"/>
    <w:rsid w:val="00B335CD"/>
    <w:rsid w:val="00B33B7B"/>
    <w:rsid w:val="00B33DAB"/>
    <w:rsid w:val="00B344E1"/>
    <w:rsid w:val="00B3530A"/>
    <w:rsid w:val="00B36555"/>
    <w:rsid w:val="00B36802"/>
    <w:rsid w:val="00B36FE2"/>
    <w:rsid w:val="00B3737A"/>
    <w:rsid w:val="00B422F8"/>
    <w:rsid w:val="00B43525"/>
    <w:rsid w:val="00B4365A"/>
    <w:rsid w:val="00B447F7"/>
    <w:rsid w:val="00B44CD6"/>
    <w:rsid w:val="00B454C0"/>
    <w:rsid w:val="00B467B6"/>
    <w:rsid w:val="00B47AE3"/>
    <w:rsid w:val="00B51C18"/>
    <w:rsid w:val="00B5261E"/>
    <w:rsid w:val="00B5287F"/>
    <w:rsid w:val="00B53879"/>
    <w:rsid w:val="00B55E19"/>
    <w:rsid w:val="00B56B96"/>
    <w:rsid w:val="00B57FCF"/>
    <w:rsid w:val="00B64E33"/>
    <w:rsid w:val="00B65966"/>
    <w:rsid w:val="00B66112"/>
    <w:rsid w:val="00B667BE"/>
    <w:rsid w:val="00B6711E"/>
    <w:rsid w:val="00B6733A"/>
    <w:rsid w:val="00B676DE"/>
    <w:rsid w:val="00B71593"/>
    <w:rsid w:val="00B72A90"/>
    <w:rsid w:val="00B75B9C"/>
    <w:rsid w:val="00B768C0"/>
    <w:rsid w:val="00B77A16"/>
    <w:rsid w:val="00B81609"/>
    <w:rsid w:val="00B85C60"/>
    <w:rsid w:val="00B8616E"/>
    <w:rsid w:val="00B86794"/>
    <w:rsid w:val="00B93F32"/>
    <w:rsid w:val="00B93FB4"/>
    <w:rsid w:val="00B946FB"/>
    <w:rsid w:val="00B9658F"/>
    <w:rsid w:val="00BA1BED"/>
    <w:rsid w:val="00BA2294"/>
    <w:rsid w:val="00BA2E41"/>
    <w:rsid w:val="00BA5965"/>
    <w:rsid w:val="00BA73FD"/>
    <w:rsid w:val="00BA77C5"/>
    <w:rsid w:val="00BA7AC0"/>
    <w:rsid w:val="00BA7DF1"/>
    <w:rsid w:val="00BB0EBB"/>
    <w:rsid w:val="00BB0EBC"/>
    <w:rsid w:val="00BB26E3"/>
    <w:rsid w:val="00BB38BB"/>
    <w:rsid w:val="00BB3A17"/>
    <w:rsid w:val="00BB3C7E"/>
    <w:rsid w:val="00BB410D"/>
    <w:rsid w:val="00BB448A"/>
    <w:rsid w:val="00BC018F"/>
    <w:rsid w:val="00BC3609"/>
    <w:rsid w:val="00BC4278"/>
    <w:rsid w:val="00BC6A38"/>
    <w:rsid w:val="00BC6C38"/>
    <w:rsid w:val="00BD0306"/>
    <w:rsid w:val="00BD03FB"/>
    <w:rsid w:val="00BD0B7A"/>
    <w:rsid w:val="00BD36AC"/>
    <w:rsid w:val="00BD3F9E"/>
    <w:rsid w:val="00BD411A"/>
    <w:rsid w:val="00BD5A03"/>
    <w:rsid w:val="00BD66C0"/>
    <w:rsid w:val="00BD7878"/>
    <w:rsid w:val="00BE0E04"/>
    <w:rsid w:val="00BE40CD"/>
    <w:rsid w:val="00BE4649"/>
    <w:rsid w:val="00BE57CF"/>
    <w:rsid w:val="00BE5E69"/>
    <w:rsid w:val="00BE5F75"/>
    <w:rsid w:val="00BE6EF3"/>
    <w:rsid w:val="00BF0A4A"/>
    <w:rsid w:val="00BF1050"/>
    <w:rsid w:val="00BF33A2"/>
    <w:rsid w:val="00BF3C5A"/>
    <w:rsid w:val="00BF6DBB"/>
    <w:rsid w:val="00BF7E16"/>
    <w:rsid w:val="00C006C8"/>
    <w:rsid w:val="00C01015"/>
    <w:rsid w:val="00C026E5"/>
    <w:rsid w:val="00C02711"/>
    <w:rsid w:val="00C03556"/>
    <w:rsid w:val="00C0418C"/>
    <w:rsid w:val="00C044D6"/>
    <w:rsid w:val="00C048DD"/>
    <w:rsid w:val="00C04DF4"/>
    <w:rsid w:val="00C05CE2"/>
    <w:rsid w:val="00C0774A"/>
    <w:rsid w:val="00C07848"/>
    <w:rsid w:val="00C10B8B"/>
    <w:rsid w:val="00C11B1A"/>
    <w:rsid w:val="00C12F01"/>
    <w:rsid w:val="00C13B7F"/>
    <w:rsid w:val="00C14E9F"/>
    <w:rsid w:val="00C15971"/>
    <w:rsid w:val="00C1620A"/>
    <w:rsid w:val="00C16DC7"/>
    <w:rsid w:val="00C17273"/>
    <w:rsid w:val="00C2046A"/>
    <w:rsid w:val="00C225F7"/>
    <w:rsid w:val="00C23962"/>
    <w:rsid w:val="00C239E4"/>
    <w:rsid w:val="00C255F6"/>
    <w:rsid w:val="00C257A6"/>
    <w:rsid w:val="00C270B4"/>
    <w:rsid w:val="00C276FE"/>
    <w:rsid w:val="00C2793C"/>
    <w:rsid w:val="00C30E47"/>
    <w:rsid w:val="00C31521"/>
    <w:rsid w:val="00C318E2"/>
    <w:rsid w:val="00C33AE1"/>
    <w:rsid w:val="00C34091"/>
    <w:rsid w:val="00C340D4"/>
    <w:rsid w:val="00C35CCA"/>
    <w:rsid w:val="00C35FC3"/>
    <w:rsid w:val="00C370F3"/>
    <w:rsid w:val="00C41142"/>
    <w:rsid w:val="00C41671"/>
    <w:rsid w:val="00C42189"/>
    <w:rsid w:val="00C43D3B"/>
    <w:rsid w:val="00C442ED"/>
    <w:rsid w:val="00C4478F"/>
    <w:rsid w:val="00C45B8A"/>
    <w:rsid w:val="00C474DB"/>
    <w:rsid w:val="00C47C1A"/>
    <w:rsid w:val="00C52846"/>
    <w:rsid w:val="00C53634"/>
    <w:rsid w:val="00C537DE"/>
    <w:rsid w:val="00C560E6"/>
    <w:rsid w:val="00C57D22"/>
    <w:rsid w:val="00C62E0B"/>
    <w:rsid w:val="00C64325"/>
    <w:rsid w:val="00C64F1D"/>
    <w:rsid w:val="00C66E80"/>
    <w:rsid w:val="00C70303"/>
    <w:rsid w:val="00C704EF"/>
    <w:rsid w:val="00C70E2A"/>
    <w:rsid w:val="00C7217E"/>
    <w:rsid w:val="00C73B03"/>
    <w:rsid w:val="00C7459A"/>
    <w:rsid w:val="00C7563B"/>
    <w:rsid w:val="00C77821"/>
    <w:rsid w:val="00C8151C"/>
    <w:rsid w:val="00C82D54"/>
    <w:rsid w:val="00C82DB2"/>
    <w:rsid w:val="00C914B8"/>
    <w:rsid w:val="00C91B03"/>
    <w:rsid w:val="00C928C4"/>
    <w:rsid w:val="00C928D9"/>
    <w:rsid w:val="00C92C13"/>
    <w:rsid w:val="00C9375A"/>
    <w:rsid w:val="00C93D16"/>
    <w:rsid w:val="00C94594"/>
    <w:rsid w:val="00C94F75"/>
    <w:rsid w:val="00C97A5B"/>
    <w:rsid w:val="00C97C2B"/>
    <w:rsid w:val="00CA012D"/>
    <w:rsid w:val="00CA05B6"/>
    <w:rsid w:val="00CA0B96"/>
    <w:rsid w:val="00CA13E0"/>
    <w:rsid w:val="00CA29C2"/>
    <w:rsid w:val="00CA38DB"/>
    <w:rsid w:val="00CA3EA8"/>
    <w:rsid w:val="00CA4902"/>
    <w:rsid w:val="00CA4CAE"/>
    <w:rsid w:val="00CA5DA0"/>
    <w:rsid w:val="00CB132C"/>
    <w:rsid w:val="00CB1D11"/>
    <w:rsid w:val="00CB1FA4"/>
    <w:rsid w:val="00CB1FFD"/>
    <w:rsid w:val="00CB21E4"/>
    <w:rsid w:val="00CB4807"/>
    <w:rsid w:val="00CB5BDE"/>
    <w:rsid w:val="00CB5E3A"/>
    <w:rsid w:val="00CB6255"/>
    <w:rsid w:val="00CB75DE"/>
    <w:rsid w:val="00CC0678"/>
    <w:rsid w:val="00CC09A4"/>
    <w:rsid w:val="00CC133F"/>
    <w:rsid w:val="00CC1AE1"/>
    <w:rsid w:val="00CC32A4"/>
    <w:rsid w:val="00CC4958"/>
    <w:rsid w:val="00CC7549"/>
    <w:rsid w:val="00CD084E"/>
    <w:rsid w:val="00CD1A13"/>
    <w:rsid w:val="00CD1F77"/>
    <w:rsid w:val="00CD2F19"/>
    <w:rsid w:val="00CD2FF0"/>
    <w:rsid w:val="00CE03D8"/>
    <w:rsid w:val="00CE3B88"/>
    <w:rsid w:val="00CE4425"/>
    <w:rsid w:val="00CF0896"/>
    <w:rsid w:val="00CF090A"/>
    <w:rsid w:val="00CF223E"/>
    <w:rsid w:val="00CF2510"/>
    <w:rsid w:val="00CF3A1C"/>
    <w:rsid w:val="00CF3E31"/>
    <w:rsid w:val="00CF68DF"/>
    <w:rsid w:val="00D00DF6"/>
    <w:rsid w:val="00D01829"/>
    <w:rsid w:val="00D039F6"/>
    <w:rsid w:val="00D04406"/>
    <w:rsid w:val="00D06694"/>
    <w:rsid w:val="00D0743C"/>
    <w:rsid w:val="00D10B81"/>
    <w:rsid w:val="00D11813"/>
    <w:rsid w:val="00D12909"/>
    <w:rsid w:val="00D12BB9"/>
    <w:rsid w:val="00D12F71"/>
    <w:rsid w:val="00D148EB"/>
    <w:rsid w:val="00D157E3"/>
    <w:rsid w:val="00D15E38"/>
    <w:rsid w:val="00D17E23"/>
    <w:rsid w:val="00D22AA6"/>
    <w:rsid w:val="00D24665"/>
    <w:rsid w:val="00D2472D"/>
    <w:rsid w:val="00D252EB"/>
    <w:rsid w:val="00D25F8C"/>
    <w:rsid w:val="00D2684E"/>
    <w:rsid w:val="00D26A80"/>
    <w:rsid w:val="00D333E1"/>
    <w:rsid w:val="00D3456E"/>
    <w:rsid w:val="00D359DC"/>
    <w:rsid w:val="00D37A0D"/>
    <w:rsid w:val="00D37AB0"/>
    <w:rsid w:val="00D40316"/>
    <w:rsid w:val="00D41420"/>
    <w:rsid w:val="00D41AC1"/>
    <w:rsid w:val="00D41B08"/>
    <w:rsid w:val="00D41C33"/>
    <w:rsid w:val="00D42CD8"/>
    <w:rsid w:val="00D44153"/>
    <w:rsid w:val="00D44468"/>
    <w:rsid w:val="00D456E2"/>
    <w:rsid w:val="00D456F1"/>
    <w:rsid w:val="00D464C1"/>
    <w:rsid w:val="00D472A1"/>
    <w:rsid w:val="00D51AE3"/>
    <w:rsid w:val="00D5450C"/>
    <w:rsid w:val="00D55496"/>
    <w:rsid w:val="00D60AB5"/>
    <w:rsid w:val="00D621BD"/>
    <w:rsid w:val="00D633ED"/>
    <w:rsid w:val="00D637F9"/>
    <w:rsid w:val="00D65C04"/>
    <w:rsid w:val="00D66197"/>
    <w:rsid w:val="00D67ABF"/>
    <w:rsid w:val="00D704B9"/>
    <w:rsid w:val="00D71273"/>
    <w:rsid w:val="00D71DB6"/>
    <w:rsid w:val="00D7245F"/>
    <w:rsid w:val="00D72C3C"/>
    <w:rsid w:val="00D72E79"/>
    <w:rsid w:val="00D733DA"/>
    <w:rsid w:val="00D73DB3"/>
    <w:rsid w:val="00D74A8D"/>
    <w:rsid w:val="00D75C12"/>
    <w:rsid w:val="00D75DE7"/>
    <w:rsid w:val="00D76187"/>
    <w:rsid w:val="00D77980"/>
    <w:rsid w:val="00D77C1B"/>
    <w:rsid w:val="00D77EEC"/>
    <w:rsid w:val="00D80EA8"/>
    <w:rsid w:val="00D8316B"/>
    <w:rsid w:val="00D841C4"/>
    <w:rsid w:val="00D85A5C"/>
    <w:rsid w:val="00D85C72"/>
    <w:rsid w:val="00D8760A"/>
    <w:rsid w:val="00D900AE"/>
    <w:rsid w:val="00D91063"/>
    <w:rsid w:val="00D91EBB"/>
    <w:rsid w:val="00D9210F"/>
    <w:rsid w:val="00D94381"/>
    <w:rsid w:val="00D947CF"/>
    <w:rsid w:val="00D9504A"/>
    <w:rsid w:val="00D95D21"/>
    <w:rsid w:val="00D970BA"/>
    <w:rsid w:val="00D97E96"/>
    <w:rsid w:val="00DA04D8"/>
    <w:rsid w:val="00DA106E"/>
    <w:rsid w:val="00DA10DF"/>
    <w:rsid w:val="00DA269D"/>
    <w:rsid w:val="00DA2FD9"/>
    <w:rsid w:val="00DA3E1B"/>
    <w:rsid w:val="00DA4A45"/>
    <w:rsid w:val="00DA4B0A"/>
    <w:rsid w:val="00DA4C6A"/>
    <w:rsid w:val="00DA531C"/>
    <w:rsid w:val="00DA541C"/>
    <w:rsid w:val="00DA5D45"/>
    <w:rsid w:val="00DA5DBC"/>
    <w:rsid w:val="00DA6D96"/>
    <w:rsid w:val="00DA725A"/>
    <w:rsid w:val="00DB07BD"/>
    <w:rsid w:val="00DB0D60"/>
    <w:rsid w:val="00DB1292"/>
    <w:rsid w:val="00DB1699"/>
    <w:rsid w:val="00DB1B03"/>
    <w:rsid w:val="00DB25ED"/>
    <w:rsid w:val="00DB6598"/>
    <w:rsid w:val="00DB75AA"/>
    <w:rsid w:val="00DC0CCB"/>
    <w:rsid w:val="00DC2169"/>
    <w:rsid w:val="00DC3F8D"/>
    <w:rsid w:val="00DC43D6"/>
    <w:rsid w:val="00DC4A3E"/>
    <w:rsid w:val="00DC5DEB"/>
    <w:rsid w:val="00DC65C5"/>
    <w:rsid w:val="00DC6EA6"/>
    <w:rsid w:val="00DC7149"/>
    <w:rsid w:val="00DD042C"/>
    <w:rsid w:val="00DD08D7"/>
    <w:rsid w:val="00DD2D99"/>
    <w:rsid w:val="00DD4125"/>
    <w:rsid w:val="00DD4A5C"/>
    <w:rsid w:val="00DD5491"/>
    <w:rsid w:val="00DD6991"/>
    <w:rsid w:val="00DD733C"/>
    <w:rsid w:val="00DD7962"/>
    <w:rsid w:val="00DE07D2"/>
    <w:rsid w:val="00DE1D6E"/>
    <w:rsid w:val="00DE1DA2"/>
    <w:rsid w:val="00DE1F92"/>
    <w:rsid w:val="00DE3241"/>
    <w:rsid w:val="00DE5879"/>
    <w:rsid w:val="00DF02C3"/>
    <w:rsid w:val="00DF121B"/>
    <w:rsid w:val="00DF2050"/>
    <w:rsid w:val="00DF3083"/>
    <w:rsid w:val="00DF31B3"/>
    <w:rsid w:val="00DF6C9F"/>
    <w:rsid w:val="00DF7E19"/>
    <w:rsid w:val="00E002BD"/>
    <w:rsid w:val="00E01999"/>
    <w:rsid w:val="00E03567"/>
    <w:rsid w:val="00E079AF"/>
    <w:rsid w:val="00E07C2F"/>
    <w:rsid w:val="00E10DA9"/>
    <w:rsid w:val="00E12690"/>
    <w:rsid w:val="00E12DAA"/>
    <w:rsid w:val="00E1371F"/>
    <w:rsid w:val="00E13BAA"/>
    <w:rsid w:val="00E142C9"/>
    <w:rsid w:val="00E1552E"/>
    <w:rsid w:val="00E15884"/>
    <w:rsid w:val="00E1608B"/>
    <w:rsid w:val="00E1788F"/>
    <w:rsid w:val="00E1790A"/>
    <w:rsid w:val="00E17D2E"/>
    <w:rsid w:val="00E211E3"/>
    <w:rsid w:val="00E21591"/>
    <w:rsid w:val="00E21A08"/>
    <w:rsid w:val="00E22A28"/>
    <w:rsid w:val="00E2314B"/>
    <w:rsid w:val="00E24506"/>
    <w:rsid w:val="00E247F3"/>
    <w:rsid w:val="00E24C7A"/>
    <w:rsid w:val="00E2547C"/>
    <w:rsid w:val="00E2686B"/>
    <w:rsid w:val="00E26C0C"/>
    <w:rsid w:val="00E27875"/>
    <w:rsid w:val="00E30720"/>
    <w:rsid w:val="00E31021"/>
    <w:rsid w:val="00E3232B"/>
    <w:rsid w:val="00E32BE3"/>
    <w:rsid w:val="00E32DD4"/>
    <w:rsid w:val="00E330F4"/>
    <w:rsid w:val="00E33466"/>
    <w:rsid w:val="00E36C5F"/>
    <w:rsid w:val="00E3704B"/>
    <w:rsid w:val="00E375E4"/>
    <w:rsid w:val="00E37D92"/>
    <w:rsid w:val="00E40E8C"/>
    <w:rsid w:val="00E41B9F"/>
    <w:rsid w:val="00E42CA6"/>
    <w:rsid w:val="00E43CD0"/>
    <w:rsid w:val="00E451B4"/>
    <w:rsid w:val="00E452E3"/>
    <w:rsid w:val="00E45BAE"/>
    <w:rsid w:val="00E46F41"/>
    <w:rsid w:val="00E51D4D"/>
    <w:rsid w:val="00E53EB7"/>
    <w:rsid w:val="00E54B43"/>
    <w:rsid w:val="00E55C7A"/>
    <w:rsid w:val="00E56C18"/>
    <w:rsid w:val="00E574B7"/>
    <w:rsid w:val="00E603C8"/>
    <w:rsid w:val="00E61F2C"/>
    <w:rsid w:val="00E61FB6"/>
    <w:rsid w:val="00E621CC"/>
    <w:rsid w:val="00E62BCB"/>
    <w:rsid w:val="00E63114"/>
    <w:rsid w:val="00E63ADD"/>
    <w:rsid w:val="00E63C97"/>
    <w:rsid w:val="00E64F57"/>
    <w:rsid w:val="00E65F51"/>
    <w:rsid w:val="00E67C4A"/>
    <w:rsid w:val="00E7083F"/>
    <w:rsid w:val="00E7124F"/>
    <w:rsid w:val="00E71DF8"/>
    <w:rsid w:val="00E72FF8"/>
    <w:rsid w:val="00E73968"/>
    <w:rsid w:val="00E742FE"/>
    <w:rsid w:val="00E747A7"/>
    <w:rsid w:val="00E74852"/>
    <w:rsid w:val="00E75AAE"/>
    <w:rsid w:val="00E77BB8"/>
    <w:rsid w:val="00E80C83"/>
    <w:rsid w:val="00E81384"/>
    <w:rsid w:val="00E83398"/>
    <w:rsid w:val="00E8428D"/>
    <w:rsid w:val="00E85EF7"/>
    <w:rsid w:val="00E875A7"/>
    <w:rsid w:val="00E9038B"/>
    <w:rsid w:val="00E9043C"/>
    <w:rsid w:val="00E91368"/>
    <w:rsid w:val="00E921A3"/>
    <w:rsid w:val="00E95320"/>
    <w:rsid w:val="00E9600B"/>
    <w:rsid w:val="00E971CA"/>
    <w:rsid w:val="00E97DC6"/>
    <w:rsid w:val="00EA03AA"/>
    <w:rsid w:val="00EA0608"/>
    <w:rsid w:val="00EA2646"/>
    <w:rsid w:val="00EA2D8F"/>
    <w:rsid w:val="00EA47F1"/>
    <w:rsid w:val="00EA4DD4"/>
    <w:rsid w:val="00EA58DA"/>
    <w:rsid w:val="00EA5E5C"/>
    <w:rsid w:val="00EA739D"/>
    <w:rsid w:val="00EB2680"/>
    <w:rsid w:val="00EB280A"/>
    <w:rsid w:val="00EB2B2B"/>
    <w:rsid w:val="00EB3000"/>
    <w:rsid w:val="00EB3BF8"/>
    <w:rsid w:val="00EB4BF2"/>
    <w:rsid w:val="00EB5215"/>
    <w:rsid w:val="00EB5421"/>
    <w:rsid w:val="00EB6864"/>
    <w:rsid w:val="00EB6D6E"/>
    <w:rsid w:val="00EB716E"/>
    <w:rsid w:val="00EB7A82"/>
    <w:rsid w:val="00EC2170"/>
    <w:rsid w:val="00EC3B76"/>
    <w:rsid w:val="00EC5AE7"/>
    <w:rsid w:val="00EC6890"/>
    <w:rsid w:val="00EC73A9"/>
    <w:rsid w:val="00ED097A"/>
    <w:rsid w:val="00ED5509"/>
    <w:rsid w:val="00ED73F4"/>
    <w:rsid w:val="00EE1640"/>
    <w:rsid w:val="00EE1746"/>
    <w:rsid w:val="00EE22EC"/>
    <w:rsid w:val="00EE5811"/>
    <w:rsid w:val="00EE59F2"/>
    <w:rsid w:val="00EE59F6"/>
    <w:rsid w:val="00EE6814"/>
    <w:rsid w:val="00EE68BE"/>
    <w:rsid w:val="00EE7527"/>
    <w:rsid w:val="00EE7A66"/>
    <w:rsid w:val="00EF600F"/>
    <w:rsid w:val="00EF682A"/>
    <w:rsid w:val="00EF7DED"/>
    <w:rsid w:val="00F01F24"/>
    <w:rsid w:val="00F022B5"/>
    <w:rsid w:val="00F04253"/>
    <w:rsid w:val="00F04BBC"/>
    <w:rsid w:val="00F0633C"/>
    <w:rsid w:val="00F06540"/>
    <w:rsid w:val="00F07CDD"/>
    <w:rsid w:val="00F10122"/>
    <w:rsid w:val="00F10A32"/>
    <w:rsid w:val="00F10C63"/>
    <w:rsid w:val="00F11695"/>
    <w:rsid w:val="00F11A55"/>
    <w:rsid w:val="00F1248C"/>
    <w:rsid w:val="00F12927"/>
    <w:rsid w:val="00F12AFA"/>
    <w:rsid w:val="00F1359E"/>
    <w:rsid w:val="00F1409E"/>
    <w:rsid w:val="00F17126"/>
    <w:rsid w:val="00F179AC"/>
    <w:rsid w:val="00F20FBF"/>
    <w:rsid w:val="00F2278D"/>
    <w:rsid w:val="00F22D31"/>
    <w:rsid w:val="00F237ED"/>
    <w:rsid w:val="00F2389D"/>
    <w:rsid w:val="00F241FA"/>
    <w:rsid w:val="00F24764"/>
    <w:rsid w:val="00F24C2B"/>
    <w:rsid w:val="00F24C5D"/>
    <w:rsid w:val="00F25E10"/>
    <w:rsid w:val="00F265A9"/>
    <w:rsid w:val="00F27ABA"/>
    <w:rsid w:val="00F27FB9"/>
    <w:rsid w:val="00F33304"/>
    <w:rsid w:val="00F33CC3"/>
    <w:rsid w:val="00F34153"/>
    <w:rsid w:val="00F34EAB"/>
    <w:rsid w:val="00F35D29"/>
    <w:rsid w:val="00F3615A"/>
    <w:rsid w:val="00F367F2"/>
    <w:rsid w:val="00F369EF"/>
    <w:rsid w:val="00F41207"/>
    <w:rsid w:val="00F422D1"/>
    <w:rsid w:val="00F42D11"/>
    <w:rsid w:val="00F43B43"/>
    <w:rsid w:val="00F448D7"/>
    <w:rsid w:val="00F44ABC"/>
    <w:rsid w:val="00F45269"/>
    <w:rsid w:val="00F45ED9"/>
    <w:rsid w:val="00F50BDF"/>
    <w:rsid w:val="00F526E5"/>
    <w:rsid w:val="00F5332B"/>
    <w:rsid w:val="00F55F93"/>
    <w:rsid w:val="00F60650"/>
    <w:rsid w:val="00F60787"/>
    <w:rsid w:val="00F6109E"/>
    <w:rsid w:val="00F610C2"/>
    <w:rsid w:val="00F63980"/>
    <w:rsid w:val="00F64AAE"/>
    <w:rsid w:val="00F67ACF"/>
    <w:rsid w:val="00F72010"/>
    <w:rsid w:val="00F72AF1"/>
    <w:rsid w:val="00F73787"/>
    <w:rsid w:val="00F74700"/>
    <w:rsid w:val="00F74C50"/>
    <w:rsid w:val="00F771F3"/>
    <w:rsid w:val="00F77528"/>
    <w:rsid w:val="00F80915"/>
    <w:rsid w:val="00F80A44"/>
    <w:rsid w:val="00F81202"/>
    <w:rsid w:val="00F81DAA"/>
    <w:rsid w:val="00F832C0"/>
    <w:rsid w:val="00F84B2B"/>
    <w:rsid w:val="00F85279"/>
    <w:rsid w:val="00F85C6C"/>
    <w:rsid w:val="00F86B25"/>
    <w:rsid w:val="00F86E7B"/>
    <w:rsid w:val="00F8713D"/>
    <w:rsid w:val="00F87B70"/>
    <w:rsid w:val="00F90C32"/>
    <w:rsid w:val="00F9235B"/>
    <w:rsid w:val="00F92869"/>
    <w:rsid w:val="00F932C5"/>
    <w:rsid w:val="00F94FA7"/>
    <w:rsid w:val="00F950EA"/>
    <w:rsid w:val="00F9592A"/>
    <w:rsid w:val="00F96780"/>
    <w:rsid w:val="00FA1693"/>
    <w:rsid w:val="00FA1B5F"/>
    <w:rsid w:val="00FA207E"/>
    <w:rsid w:val="00FA5567"/>
    <w:rsid w:val="00FA5996"/>
    <w:rsid w:val="00FA6674"/>
    <w:rsid w:val="00FA7773"/>
    <w:rsid w:val="00FA7B37"/>
    <w:rsid w:val="00FA7BC1"/>
    <w:rsid w:val="00FB112A"/>
    <w:rsid w:val="00FB116D"/>
    <w:rsid w:val="00FB24C1"/>
    <w:rsid w:val="00FB457E"/>
    <w:rsid w:val="00FB63F7"/>
    <w:rsid w:val="00FB739E"/>
    <w:rsid w:val="00FC0782"/>
    <w:rsid w:val="00FC269B"/>
    <w:rsid w:val="00FC564C"/>
    <w:rsid w:val="00FC58F4"/>
    <w:rsid w:val="00FC735D"/>
    <w:rsid w:val="00FC76D2"/>
    <w:rsid w:val="00FC7906"/>
    <w:rsid w:val="00FD0A05"/>
    <w:rsid w:val="00FD0B50"/>
    <w:rsid w:val="00FD0DB8"/>
    <w:rsid w:val="00FD1542"/>
    <w:rsid w:val="00FD3D07"/>
    <w:rsid w:val="00FD432B"/>
    <w:rsid w:val="00FD55F4"/>
    <w:rsid w:val="00FD61C7"/>
    <w:rsid w:val="00FD61FA"/>
    <w:rsid w:val="00FD6466"/>
    <w:rsid w:val="00FD6DEB"/>
    <w:rsid w:val="00FD7E76"/>
    <w:rsid w:val="00FE0EC8"/>
    <w:rsid w:val="00FE5662"/>
    <w:rsid w:val="00FF2382"/>
    <w:rsid w:val="00FF3CA0"/>
    <w:rsid w:val="00FF3D18"/>
    <w:rsid w:val="00FF40B2"/>
    <w:rsid w:val="00FF4A36"/>
    <w:rsid w:val="00FF4B86"/>
    <w:rsid w:val="00FF51CB"/>
    <w:rsid w:val="00FF6C82"/>
    <w:rsid w:val="00FF7AA2"/>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0" w:qFormat="1"/>
    <w:lsdException w:name="heading 9" w:semiHidden="0" w:uiPriority="0" w:unhideWhenUsed="0" w:qFormat="1"/>
    <w:lsdException w:name="toc 1" w:uiPriority="39"/>
    <w:lsdException w:name="toc 2" w:uiPriority="39"/>
    <w:lsdException w:name="toc 3" w:uiPriority="39"/>
    <w:lsdException w:name="toc 4" w:uiPriority="0"/>
    <w:lsdException w:name="toc 5" w:uiPriority="0"/>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List"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605E62"/>
    <w:pPr>
      <w:spacing w:after="120" w:line="312" w:lineRule="auto"/>
    </w:pPr>
    <w:rPr>
      <w:rFonts w:ascii="Arial" w:hAnsi="Arial"/>
      <w:sz w:val="22"/>
      <w:szCs w:val="22"/>
    </w:rPr>
  </w:style>
  <w:style w:type="paragraph" w:styleId="berschrift1">
    <w:name w:val="heading 1"/>
    <w:basedOn w:val="Standard"/>
    <w:next w:val="Standard"/>
    <w:link w:val="berschrift1Zchn"/>
    <w:qFormat/>
    <w:rsid w:val="00C66E80"/>
    <w:pPr>
      <w:keepNext/>
      <w:keepLines/>
      <w:pageBreakBefore/>
      <w:numPr>
        <w:numId w:val="8"/>
      </w:numPr>
      <w:spacing w:before="480" w:after="240"/>
      <w:outlineLvl w:val="0"/>
    </w:pPr>
    <w:rPr>
      <w:b/>
      <w:bCs/>
      <w:sz w:val="32"/>
      <w:szCs w:val="28"/>
    </w:rPr>
  </w:style>
  <w:style w:type="paragraph" w:styleId="berschrift2">
    <w:name w:val="heading 2"/>
    <w:basedOn w:val="Standard"/>
    <w:next w:val="Standard"/>
    <w:link w:val="berschrift2Zchn"/>
    <w:unhideWhenUsed/>
    <w:qFormat/>
    <w:rsid w:val="00C66E80"/>
    <w:pPr>
      <w:keepNext/>
      <w:keepLines/>
      <w:numPr>
        <w:ilvl w:val="1"/>
        <w:numId w:val="8"/>
      </w:numPr>
      <w:spacing w:before="480" w:after="240"/>
      <w:outlineLvl w:val="1"/>
    </w:pPr>
    <w:rPr>
      <w:b/>
      <w:bCs/>
      <w:sz w:val="28"/>
      <w:szCs w:val="26"/>
    </w:rPr>
  </w:style>
  <w:style w:type="paragraph" w:styleId="berschrift3">
    <w:name w:val="heading 3"/>
    <w:basedOn w:val="Standard"/>
    <w:next w:val="Standard"/>
    <w:link w:val="berschrift3Zchn"/>
    <w:unhideWhenUsed/>
    <w:qFormat/>
    <w:rsid w:val="00C66E80"/>
    <w:pPr>
      <w:keepNext/>
      <w:keepLines/>
      <w:numPr>
        <w:ilvl w:val="2"/>
        <w:numId w:val="8"/>
      </w:numPr>
      <w:spacing w:before="240"/>
      <w:outlineLvl w:val="2"/>
    </w:pPr>
    <w:rPr>
      <w:b/>
      <w:bCs/>
    </w:rPr>
  </w:style>
  <w:style w:type="paragraph" w:styleId="berschrift4">
    <w:name w:val="heading 4"/>
    <w:basedOn w:val="Standard"/>
    <w:next w:val="Standard"/>
    <w:link w:val="berschrift4Zchn"/>
    <w:unhideWhenUsed/>
    <w:qFormat/>
    <w:rsid w:val="00C66E80"/>
    <w:pPr>
      <w:keepNext/>
      <w:keepLines/>
      <w:numPr>
        <w:ilvl w:val="3"/>
        <w:numId w:val="8"/>
      </w:numPr>
      <w:spacing w:before="200"/>
      <w:outlineLvl w:val="3"/>
    </w:pPr>
    <w:rPr>
      <w:b/>
      <w:bCs/>
      <w:i/>
      <w:iCs/>
    </w:rPr>
  </w:style>
  <w:style w:type="paragraph" w:styleId="berschrift5">
    <w:name w:val="heading 5"/>
    <w:basedOn w:val="Standard"/>
    <w:next w:val="Standard"/>
    <w:link w:val="berschrift5Zchn"/>
    <w:unhideWhenUsed/>
    <w:qFormat/>
    <w:rsid w:val="00047A89"/>
    <w:pPr>
      <w:keepNext/>
      <w:keepLines/>
      <w:numPr>
        <w:ilvl w:val="4"/>
        <w:numId w:val="8"/>
      </w:numPr>
      <w:spacing w:before="200" w:after="40"/>
      <w:outlineLvl w:val="4"/>
    </w:pPr>
    <w:rPr>
      <w:b/>
    </w:rPr>
  </w:style>
  <w:style w:type="paragraph" w:styleId="berschrift6">
    <w:name w:val="heading 6"/>
    <w:basedOn w:val="Standard"/>
    <w:next w:val="Standard"/>
    <w:link w:val="berschrift6Zchn"/>
    <w:unhideWhenUsed/>
    <w:qFormat/>
    <w:rsid w:val="000A4638"/>
    <w:pPr>
      <w:keepNext/>
      <w:keepLines/>
      <w:numPr>
        <w:ilvl w:val="5"/>
        <w:numId w:val="8"/>
      </w:numPr>
      <w:spacing w:before="60" w:after="60" w:line="240" w:lineRule="auto"/>
      <w:outlineLvl w:val="5"/>
    </w:pPr>
    <w:rPr>
      <w:b/>
      <w:iCs/>
    </w:rPr>
  </w:style>
  <w:style w:type="paragraph" w:styleId="berschrift7">
    <w:name w:val="heading 7"/>
    <w:basedOn w:val="Standard"/>
    <w:next w:val="Standard"/>
    <w:link w:val="berschrift7Zchn"/>
    <w:unhideWhenUsed/>
    <w:qFormat/>
    <w:rsid w:val="00C66E80"/>
    <w:pPr>
      <w:keepNext/>
      <w:keepLines/>
      <w:numPr>
        <w:ilvl w:val="6"/>
        <w:numId w:val="8"/>
      </w:numPr>
      <w:spacing w:before="200" w:after="0"/>
      <w:outlineLvl w:val="6"/>
    </w:pPr>
    <w:rPr>
      <w:rFonts w:ascii="Cambria" w:hAnsi="Cambria"/>
      <w:i/>
      <w:iCs/>
      <w:color w:val="404040"/>
    </w:rPr>
  </w:style>
  <w:style w:type="paragraph" w:styleId="berschrift8">
    <w:name w:val="heading 8"/>
    <w:basedOn w:val="Standard"/>
    <w:next w:val="Standard"/>
    <w:link w:val="berschrift8Zchn"/>
    <w:unhideWhenUsed/>
    <w:qFormat/>
    <w:rsid w:val="00C66E80"/>
    <w:pPr>
      <w:keepNext/>
      <w:keepLines/>
      <w:numPr>
        <w:ilvl w:val="7"/>
        <w:numId w:val="8"/>
      </w:numPr>
      <w:spacing w:before="200" w:after="0"/>
      <w:outlineLvl w:val="7"/>
    </w:pPr>
    <w:rPr>
      <w:rFonts w:ascii="Cambria" w:hAnsi="Cambria"/>
      <w:color w:val="404040"/>
      <w:sz w:val="20"/>
      <w:szCs w:val="20"/>
    </w:rPr>
  </w:style>
  <w:style w:type="paragraph" w:styleId="berschrift9">
    <w:name w:val="heading 9"/>
    <w:basedOn w:val="Standard"/>
    <w:next w:val="Standard"/>
    <w:link w:val="berschrift9Zchn"/>
    <w:unhideWhenUsed/>
    <w:qFormat/>
    <w:rsid w:val="00C66E80"/>
    <w:pPr>
      <w:keepNext/>
      <w:keepLines/>
      <w:numPr>
        <w:ilvl w:val="8"/>
        <w:numId w:val="8"/>
      </w:numPr>
      <w:spacing w:before="200" w:after="0"/>
      <w:outlineLvl w:val="8"/>
    </w:pPr>
    <w:rPr>
      <w:rFonts w:ascii="Cambria" w:hAnsi="Cambria"/>
      <w:i/>
      <w:iCs/>
      <w:color w:val="404040"/>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Nummerierungszeichen">
    <w:name w:val="Nummerierungszeichen"/>
    <w:rsid w:val="00A41669"/>
  </w:style>
  <w:style w:type="character" w:customStyle="1" w:styleId="Aufzhlungszeichen1">
    <w:name w:val="Aufzählungszeichen1"/>
    <w:rsid w:val="00A41669"/>
    <w:rPr>
      <w:rFonts w:ascii="StarSymbol" w:eastAsia="StarSymbol" w:hAnsi="StarSymbol" w:cs="StarSymbol"/>
      <w:sz w:val="18"/>
      <w:szCs w:val="18"/>
    </w:rPr>
  </w:style>
  <w:style w:type="character" w:styleId="Hyperlink">
    <w:name w:val="Hyperlink"/>
    <w:uiPriority w:val="99"/>
    <w:rsid w:val="00A41669"/>
    <w:rPr>
      <w:color w:val="000080"/>
      <w:u w:val="single"/>
    </w:rPr>
  </w:style>
  <w:style w:type="character" w:styleId="Hervorhebung">
    <w:name w:val="Emphasis"/>
    <w:uiPriority w:val="20"/>
    <w:qFormat/>
    <w:rsid w:val="00491873"/>
    <w:rPr>
      <w:i/>
      <w:iCs/>
    </w:rPr>
  </w:style>
  <w:style w:type="character" w:styleId="Fett">
    <w:name w:val="Strong"/>
    <w:uiPriority w:val="22"/>
    <w:qFormat/>
    <w:rsid w:val="00491873"/>
    <w:rPr>
      <w:b/>
      <w:bCs/>
    </w:rPr>
  </w:style>
  <w:style w:type="paragraph" w:styleId="Textkrper">
    <w:name w:val="Body Text"/>
    <w:basedOn w:val="Standard"/>
    <w:link w:val="TextkrperZchn"/>
    <w:semiHidden/>
    <w:rsid w:val="00FC564C"/>
  </w:style>
  <w:style w:type="paragraph" w:customStyle="1" w:styleId="berschrift">
    <w:name w:val="Überschrift"/>
    <w:basedOn w:val="berschrift1"/>
    <w:qFormat/>
    <w:rsid w:val="00C66E80"/>
    <w:pPr>
      <w:pageBreakBefore w:val="0"/>
      <w:numPr>
        <w:numId w:val="0"/>
      </w:numPr>
    </w:pPr>
  </w:style>
  <w:style w:type="paragraph" w:customStyle="1" w:styleId="berschrift10">
    <w:name w:val="Überschrift 10"/>
    <w:basedOn w:val="berschrift"/>
    <w:next w:val="Textkrper"/>
    <w:rsid w:val="00A41669"/>
    <w:pPr>
      <w:numPr>
        <w:ilvl w:val="8"/>
        <w:numId w:val="1"/>
      </w:numPr>
      <w:outlineLvl w:val="8"/>
    </w:pPr>
    <w:rPr>
      <w:sz w:val="21"/>
      <w:szCs w:val="21"/>
    </w:rPr>
  </w:style>
  <w:style w:type="paragraph" w:styleId="Liste">
    <w:name w:val="List"/>
    <w:basedOn w:val="Textkrper"/>
    <w:semiHidden/>
    <w:rsid w:val="00A41669"/>
    <w:rPr>
      <w:rFonts w:cs="Tahoma"/>
    </w:rPr>
  </w:style>
  <w:style w:type="paragraph" w:customStyle="1" w:styleId="Beschriftung1">
    <w:name w:val="Beschriftung1"/>
    <w:basedOn w:val="Standard"/>
    <w:rsid w:val="00A41669"/>
    <w:pPr>
      <w:suppressLineNumbers/>
      <w:spacing w:before="120"/>
    </w:pPr>
    <w:rPr>
      <w:rFonts w:cs="Tahoma"/>
      <w:i/>
      <w:iCs/>
      <w:sz w:val="24"/>
      <w:szCs w:val="24"/>
    </w:rPr>
  </w:style>
  <w:style w:type="paragraph" w:customStyle="1" w:styleId="Verzeichnis">
    <w:name w:val="Verzeichnis"/>
    <w:basedOn w:val="Standard"/>
    <w:rsid w:val="00A41669"/>
    <w:pPr>
      <w:suppressLineNumbers/>
    </w:pPr>
    <w:rPr>
      <w:rFonts w:cs="Tahoma"/>
    </w:rPr>
  </w:style>
  <w:style w:type="paragraph" w:styleId="Titel">
    <w:name w:val="Title"/>
    <w:basedOn w:val="berschrift"/>
    <w:next w:val="Untertitel"/>
    <w:uiPriority w:val="10"/>
    <w:qFormat/>
    <w:rsid w:val="00491873"/>
    <w:pPr>
      <w:keepNext w:val="0"/>
      <w:pBdr>
        <w:bottom w:val="single" w:sz="8" w:space="4" w:color="4F81BD"/>
      </w:pBdr>
      <w:spacing w:before="0" w:after="300" w:line="240" w:lineRule="auto"/>
      <w:contextualSpacing/>
    </w:pPr>
    <w:rPr>
      <w:rFonts w:ascii="Cambria" w:hAnsi="Cambria"/>
      <w:color w:val="17365D"/>
      <w:spacing w:val="5"/>
      <w:kern w:val="28"/>
      <w:sz w:val="52"/>
      <w:szCs w:val="52"/>
    </w:rPr>
  </w:style>
  <w:style w:type="paragraph" w:styleId="Untertitel">
    <w:name w:val="Subtitle"/>
    <w:basedOn w:val="berschrift"/>
    <w:next w:val="Textkrper"/>
    <w:uiPriority w:val="11"/>
    <w:qFormat/>
    <w:rsid w:val="00491873"/>
    <w:pPr>
      <w:keepNext w:val="0"/>
      <w:numPr>
        <w:ilvl w:val="1"/>
      </w:numPr>
      <w:spacing w:before="0" w:after="120"/>
    </w:pPr>
    <w:rPr>
      <w:rFonts w:ascii="Cambria" w:hAnsi="Cambria"/>
      <w:i/>
      <w:iCs/>
      <w:color w:val="4F81BD"/>
      <w:spacing w:val="15"/>
      <w:sz w:val="24"/>
      <w:szCs w:val="24"/>
    </w:rPr>
  </w:style>
  <w:style w:type="paragraph" w:styleId="Textkrper-Zeileneinzug">
    <w:name w:val="Body Text Indent"/>
    <w:basedOn w:val="Textkrper"/>
    <w:link w:val="Textkrper-ZeileneinzugZchn"/>
    <w:semiHidden/>
    <w:rsid w:val="00A41669"/>
    <w:pPr>
      <w:ind w:left="283"/>
    </w:pPr>
  </w:style>
  <w:style w:type="paragraph" w:styleId="Textkrper-Erstzeileneinzug">
    <w:name w:val="Body Text First Indent"/>
    <w:basedOn w:val="Textkrper"/>
    <w:semiHidden/>
    <w:rsid w:val="00A41669"/>
    <w:pPr>
      <w:ind w:firstLine="283"/>
    </w:pPr>
  </w:style>
  <w:style w:type="paragraph" w:customStyle="1" w:styleId="TextkrperEinzugnegativ">
    <w:name w:val="Textkörper Einzug negativ"/>
    <w:basedOn w:val="Textkrper"/>
    <w:rsid w:val="00A41669"/>
    <w:pPr>
      <w:tabs>
        <w:tab w:val="left" w:pos="567"/>
      </w:tabs>
      <w:ind w:left="567" w:hanging="283"/>
    </w:pPr>
  </w:style>
  <w:style w:type="paragraph" w:customStyle="1" w:styleId="Nummerierung1">
    <w:name w:val="Nummerierung 1"/>
    <w:basedOn w:val="Liste"/>
    <w:rsid w:val="00A41669"/>
    <w:pPr>
      <w:ind w:left="360" w:hanging="360"/>
    </w:pPr>
  </w:style>
  <w:style w:type="paragraph" w:customStyle="1" w:styleId="Tabelle">
    <w:name w:val="Tabelle"/>
    <w:basedOn w:val="Beschriftung1"/>
    <w:rsid w:val="00A41669"/>
  </w:style>
  <w:style w:type="paragraph" w:customStyle="1" w:styleId="Text">
    <w:name w:val="Text"/>
    <w:basedOn w:val="Beschriftung1"/>
    <w:rsid w:val="00A41669"/>
  </w:style>
  <w:style w:type="paragraph" w:styleId="Kopfzeile">
    <w:name w:val="header"/>
    <w:basedOn w:val="Standard"/>
    <w:semiHidden/>
    <w:rsid w:val="00A41669"/>
    <w:pPr>
      <w:suppressLineNumbers/>
      <w:tabs>
        <w:tab w:val="center" w:pos="4818"/>
        <w:tab w:val="right" w:pos="9637"/>
      </w:tabs>
    </w:pPr>
  </w:style>
  <w:style w:type="paragraph" w:styleId="Fuzeile">
    <w:name w:val="footer"/>
    <w:basedOn w:val="Standard"/>
    <w:semiHidden/>
    <w:rsid w:val="00A41669"/>
    <w:pPr>
      <w:suppressLineNumbers/>
      <w:tabs>
        <w:tab w:val="center" w:pos="4818"/>
        <w:tab w:val="right" w:pos="9637"/>
      </w:tabs>
    </w:pPr>
    <w:rPr>
      <w:sz w:val="18"/>
    </w:rPr>
  </w:style>
  <w:style w:type="paragraph" w:customStyle="1" w:styleId="Aufzhlung1">
    <w:name w:val="Aufzählung 1"/>
    <w:basedOn w:val="Liste"/>
    <w:rsid w:val="00A41669"/>
    <w:pPr>
      <w:ind w:left="360" w:hanging="360"/>
    </w:pPr>
  </w:style>
  <w:style w:type="paragraph" w:styleId="Unterschrift">
    <w:name w:val="Signature"/>
    <w:basedOn w:val="Standard"/>
    <w:semiHidden/>
    <w:rsid w:val="00A41669"/>
    <w:pPr>
      <w:suppressLineNumbers/>
    </w:pPr>
  </w:style>
  <w:style w:type="paragraph" w:styleId="Funotentext">
    <w:name w:val="footnote text"/>
    <w:basedOn w:val="Standard"/>
    <w:semiHidden/>
    <w:rsid w:val="00A41669"/>
    <w:pPr>
      <w:suppressLineNumbers/>
      <w:ind w:left="283" w:hanging="283"/>
    </w:pPr>
    <w:rPr>
      <w:sz w:val="16"/>
      <w:szCs w:val="20"/>
    </w:rPr>
  </w:style>
  <w:style w:type="paragraph" w:customStyle="1" w:styleId="TextkrperAufzhlungeng">
    <w:name w:val="Textkörper Aufzählung eng"/>
    <w:basedOn w:val="Standard"/>
    <w:rsid w:val="00A41669"/>
    <w:pPr>
      <w:numPr>
        <w:numId w:val="2"/>
      </w:numPr>
      <w:spacing w:after="57"/>
      <w:ind w:left="283" w:firstLine="0"/>
    </w:pPr>
  </w:style>
  <w:style w:type="paragraph" w:customStyle="1" w:styleId="TextkrperAufzhlung">
    <w:name w:val="Textkörper Aufzählung"/>
    <w:basedOn w:val="Textkrper-Zeileneinzug"/>
    <w:rsid w:val="00A41669"/>
    <w:pPr>
      <w:spacing w:after="850"/>
    </w:pPr>
  </w:style>
  <w:style w:type="paragraph" w:customStyle="1" w:styleId="Literaturverzeichnisberschrift">
    <w:name w:val="Literaturverzeichnis Überschrift"/>
    <w:basedOn w:val="berschrift"/>
    <w:rsid w:val="00A41669"/>
    <w:pPr>
      <w:pageBreakBefore/>
      <w:suppressLineNumbers/>
    </w:pPr>
    <w:rPr>
      <w:szCs w:val="32"/>
    </w:rPr>
  </w:style>
  <w:style w:type="paragraph" w:customStyle="1" w:styleId="Inhaltsverzeichnisberschrift">
    <w:name w:val="Inhaltsverzeichnis Überschrift"/>
    <w:basedOn w:val="berschrift"/>
    <w:rsid w:val="00A41669"/>
    <w:pPr>
      <w:pageBreakBefore/>
      <w:suppressLineNumbers/>
    </w:pPr>
    <w:rPr>
      <w:szCs w:val="32"/>
    </w:rPr>
  </w:style>
  <w:style w:type="paragraph" w:styleId="Verzeichnis4">
    <w:name w:val="toc 4"/>
    <w:basedOn w:val="Verzeichnis"/>
    <w:semiHidden/>
    <w:rsid w:val="00A41669"/>
    <w:pPr>
      <w:tabs>
        <w:tab w:val="right" w:leader="dot" w:pos="9638"/>
      </w:tabs>
      <w:spacing w:after="28"/>
      <w:ind w:left="849"/>
    </w:pPr>
  </w:style>
  <w:style w:type="paragraph" w:styleId="Verzeichnis5">
    <w:name w:val="toc 5"/>
    <w:basedOn w:val="Verzeichnis"/>
    <w:semiHidden/>
    <w:rsid w:val="00A41669"/>
    <w:pPr>
      <w:tabs>
        <w:tab w:val="right" w:leader="dot" w:pos="9638"/>
      </w:tabs>
      <w:spacing w:after="28"/>
      <w:ind w:left="1132"/>
    </w:pPr>
  </w:style>
  <w:style w:type="paragraph" w:styleId="Verzeichnis3">
    <w:name w:val="toc 3"/>
    <w:basedOn w:val="Verzeichnis"/>
    <w:uiPriority w:val="39"/>
    <w:rsid w:val="00A41669"/>
    <w:pPr>
      <w:tabs>
        <w:tab w:val="right" w:leader="dot" w:pos="9638"/>
      </w:tabs>
      <w:spacing w:after="28"/>
      <w:ind w:left="566"/>
    </w:pPr>
  </w:style>
  <w:style w:type="paragraph" w:styleId="Verzeichnis2">
    <w:name w:val="toc 2"/>
    <w:basedOn w:val="Verzeichnis"/>
    <w:uiPriority w:val="39"/>
    <w:rsid w:val="00A41669"/>
    <w:pPr>
      <w:tabs>
        <w:tab w:val="right" w:leader="dot" w:pos="9638"/>
      </w:tabs>
      <w:spacing w:after="28"/>
      <w:ind w:left="283"/>
    </w:pPr>
    <w:rPr>
      <w:b/>
      <w:i/>
    </w:rPr>
  </w:style>
  <w:style w:type="paragraph" w:customStyle="1" w:styleId="Benutzerverzeichnis3">
    <w:name w:val="Benutzerverzeichnis 3"/>
    <w:basedOn w:val="Verzeichnis"/>
    <w:rsid w:val="00A41669"/>
    <w:pPr>
      <w:tabs>
        <w:tab w:val="right" w:leader="dot" w:pos="9638"/>
      </w:tabs>
      <w:spacing w:after="28"/>
      <w:ind w:left="566"/>
    </w:pPr>
  </w:style>
  <w:style w:type="paragraph" w:customStyle="1" w:styleId="Benutzerverzeichnis2">
    <w:name w:val="Benutzerverzeichnis 2"/>
    <w:basedOn w:val="Verzeichnis"/>
    <w:rsid w:val="00A41669"/>
    <w:pPr>
      <w:tabs>
        <w:tab w:val="right" w:leader="dot" w:pos="9638"/>
      </w:tabs>
      <w:spacing w:after="28"/>
      <w:ind w:left="283"/>
    </w:pPr>
  </w:style>
  <w:style w:type="paragraph" w:styleId="Verzeichnis1">
    <w:name w:val="toc 1"/>
    <w:basedOn w:val="Verzeichnis"/>
    <w:uiPriority w:val="39"/>
    <w:rsid w:val="00A41669"/>
    <w:pPr>
      <w:tabs>
        <w:tab w:val="right" w:leader="dot" w:pos="9638"/>
      </w:tabs>
      <w:spacing w:after="57"/>
    </w:pPr>
    <w:rPr>
      <w:b/>
      <w:sz w:val="21"/>
    </w:rPr>
  </w:style>
  <w:style w:type="paragraph" w:customStyle="1" w:styleId="TabellenInhalt">
    <w:name w:val="Tabellen Inhalt"/>
    <w:basedOn w:val="Standard"/>
    <w:rsid w:val="00A41669"/>
    <w:pPr>
      <w:suppressLineNumbers/>
    </w:pPr>
  </w:style>
  <w:style w:type="paragraph" w:customStyle="1" w:styleId="Tabellenberschrift">
    <w:name w:val="Tabellen Überschrift"/>
    <w:basedOn w:val="TabellenInhalt"/>
    <w:rsid w:val="00A41669"/>
    <w:pPr>
      <w:jc w:val="center"/>
    </w:pPr>
    <w:rPr>
      <w:b/>
      <w:bCs/>
    </w:rPr>
  </w:style>
  <w:style w:type="paragraph" w:customStyle="1" w:styleId="Listeninhalt">
    <w:name w:val="Listeninhalt"/>
    <w:basedOn w:val="Standard"/>
    <w:rsid w:val="00A41669"/>
    <w:pPr>
      <w:ind w:left="567"/>
    </w:pPr>
  </w:style>
  <w:style w:type="paragraph" w:customStyle="1" w:styleId="Listenkopf">
    <w:name w:val="Listenkopf"/>
    <w:basedOn w:val="Standard"/>
    <w:next w:val="Listeninhalt"/>
    <w:rsid w:val="00A41669"/>
  </w:style>
  <w:style w:type="paragraph" w:styleId="Dokumentstruktur">
    <w:name w:val="Document Map"/>
    <w:basedOn w:val="Standard"/>
    <w:link w:val="DokumentstrukturZchn"/>
    <w:uiPriority w:val="99"/>
    <w:semiHidden/>
    <w:unhideWhenUsed/>
    <w:rsid w:val="00004C1B"/>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004C1B"/>
    <w:rPr>
      <w:rFonts w:ascii="Tahoma" w:eastAsia="Lucida Sans Unicode" w:hAnsi="Tahoma" w:cs="Tahoma"/>
      <w:sz w:val="16"/>
      <w:szCs w:val="16"/>
      <w:lang w:val="de-AT"/>
    </w:rPr>
  </w:style>
  <w:style w:type="character" w:customStyle="1" w:styleId="Textkrper-ZeileneinzugZchn">
    <w:name w:val="Textkörper-Zeileneinzug Zchn"/>
    <w:basedOn w:val="Absatz-Standardschriftart"/>
    <w:link w:val="Textkrper-Zeileneinzug"/>
    <w:semiHidden/>
    <w:rsid w:val="00AF08AC"/>
    <w:rPr>
      <w:rFonts w:ascii="Arial" w:eastAsia="Lucida Sans Unicode" w:hAnsi="Arial"/>
      <w:szCs w:val="24"/>
      <w:lang w:val="de-AT"/>
    </w:rPr>
  </w:style>
  <w:style w:type="paragraph" w:styleId="Listenabsatz">
    <w:name w:val="List Paragraph"/>
    <w:basedOn w:val="Standard"/>
    <w:uiPriority w:val="34"/>
    <w:qFormat/>
    <w:rsid w:val="00C66E80"/>
    <w:pPr>
      <w:ind w:left="720"/>
      <w:contextualSpacing/>
    </w:pPr>
  </w:style>
  <w:style w:type="character" w:customStyle="1" w:styleId="berschrift8Zchn">
    <w:name w:val="Überschrift 8 Zchn"/>
    <w:basedOn w:val="Absatz-Standardschriftart"/>
    <w:link w:val="berschrift8"/>
    <w:uiPriority w:val="9"/>
    <w:semiHidden/>
    <w:rsid w:val="00C66E80"/>
    <w:rPr>
      <w:rFonts w:ascii="Cambria" w:hAnsi="Cambria"/>
      <w:color w:val="404040"/>
    </w:rPr>
  </w:style>
  <w:style w:type="numbering" w:customStyle="1" w:styleId="Formatvorlage1">
    <w:name w:val="Formatvorlage1"/>
    <w:uiPriority w:val="99"/>
    <w:rsid w:val="00DF6C9F"/>
    <w:pPr>
      <w:numPr>
        <w:numId w:val="5"/>
      </w:numPr>
    </w:pPr>
  </w:style>
  <w:style w:type="numbering" w:customStyle="1" w:styleId="Formatvorlage2">
    <w:name w:val="Formatvorlage2"/>
    <w:uiPriority w:val="99"/>
    <w:rsid w:val="00DF6C9F"/>
    <w:pPr>
      <w:numPr>
        <w:numId w:val="6"/>
      </w:numPr>
    </w:pPr>
  </w:style>
  <w:style w:type="paragraph" w:customStyle="1" w:styleId="Aufzhlung">
    <w:name w:val="Aufzählung"/>
    <w:basedOn w:val="Textkrper"/>
    <w:qFormat/>
    <w:rsid w:val="00184545"/>
    <w:pPr>
      <w:numPr>
        <w:numId w:val="3"/>
      </w:numPr>
    </w:pPr>
  </w:style>
  <w:style w:type="paragraph" w:styleId="Aufzhlungszeichen3">
    <w:name w:val="List Bullet 3"/>
    <w:basedOn w:val="Standard"/>
    <w:uiPriority w:val="99"/>
    <w:unhideWhenUsed/>
    <w:rsid w:val="0075499B"/>
    <w:pPr>
      <w:numPr>
        <w:numId w:val="4"/>
      </w:numPr>
      <w:contextualSpacing/>
    </w:pPr>
  </w:style>
  <w:style w:type="character" w:customStyle="1" w:styleId="berschrift4Zchn">
    <w:name w:val="Überschrift 4 Zchn"/>
    <w:basedOn w:val="Absatz-Standardschriftart"/>
    <w:link w:val="berschrift4"/>
    <w:rsid w:val="00C66E80"/>
    <w:rPr>
      <w:rFonts w:ascii="Arial" w:hAnsi="Arial"/>
      <w:b/>
      <w:bCs/>
      <w:i/>
      <w:iCs/>
      <w:sz w:val="22"/>
      <w:szCs w:val="22"/>
    </w:rPr>
  </w:style>
  <w:style w:type="character" w:styleId="Funotenzeichen">
    <w:name w:val="footnote reference"/>
    <w:basedOn w:val="Absatz-Standardschriftart"/>
    <w:uiPriority w:val="99"/>
    <w:semiHidden/>
    <w:unhideWhenUsed/>
    <w:rsid w:val="00D65C04"/>
    <w:rPr>
      <w:vertAlign w:val="superscript"/>
    </w:rPr>
  </w:style>
  <w:style w:type="character" w:customStyle="1" w:styleId="TextkrperZchn">
    <w:name w:val="Textkörper Zchn"/>
    <w:basedOn w:val="Absatz-Standardschriftart"/>
    <w:link w:val="Textkrper"/>
    <w:semiHidden/>
    <w:rsid w:val="00FC564C"/>
    <w:rPr>
      <w:rFonts w:ascii="Arial" w:eastAsia="Lucida Sans Unicode" w:hAnsi="Arial"/>
      <w:sz w:val="22"/>
      <w:szCs w:val="24"/>
      <w:lang w:val="de-AT"/>
    </w:rPr>
  </w:style>
  <w:style w:type="numbering" w:customStyle="1" w:styleId="BerichteFFG">
    <w:name w:val="Berichte FFG"/>
    <w:uiPriority w:val="99"/>
    <w:rsid w:val="00EA03AA"/>
    <w:pPr>
      <w:numPr>
        <w:numId w:val="7"/>
      </w:numPr>
    </w:pPr>
  </w:style>
  <w:style w:type="character" w:customStyle="1" w:styleId="berschrift1Zchn">
    <w:name w:val="Überschrift 1 Zchn"/>
    <w:basedOn w:val="Absatz-Standardschriftart"/>
    <w:link w:val="berschrift1"/>
    <w:uiPriority w:val="9"/>
    <w:rsid w:val="00C66E80"/>
    <w:rPr>
      <w:rFonts w:ascii="Arial" w:hAnsi="Arial"/>
      <w:b/>
      <w:bCs/>
      <w:sz w:val="32"/>
      <w:szCs w:val="28"/>
    </w:rPr>
  </w:style>
  <w:style w:type="character" w:customStyle="1" w:styleId="berschrift2Zchn">
    <w:name w:val="Überschrift 2 Zchn"/>
    <w:basedOn w:val="Absatz-Standardschriftart"/>
    <w:link w:val="berschrift2"/>
    <w:uiPriority w:val="9"/>
    <w:rsid w:val="00C66E80"/>
    <w:rPr>
      <w:rFonts w:ascii="Arial" w:hAnsi="Arial"/>
      <w:b/>
      <w:bCs/>
      <w:sz w:val="28"/>
      <w:szCs w:val="26"/>
    </w:rPr>
  </w:style>
  <w:style w:type="character" w:customStyle="1" w:styleId="berschrift3Zchn">
    <w:name w:val="Überschrift 3 Zchn"/>
    <w:basedOn w:val="Absatz-Standardschriftart"/>
    <w:link w:val="berschrift3"/>
    <w:rsid w:val="00C66E80"/>
    <w:rPr>
      <w:rFonts w:ascii="Arial" w:hAnsi="Arial"/>
      <w:b/>
      <w:bCs/>
      <w:sz w:val="22"/>
      <w:szCs w:val="22"/>
    </w:rPr>
  </w:style>
  <w:style w:type="character" w:customStyle="1" w:styleId="berschrift5Zchn">
    <w:name w:val="Überschrift 5 Zchn"/>
    <w:basedOn w:val="Absatz-Standardschriftart"/>
    <w:link w:val="berschrift5"/>
    <w:rsid w:val="00047A89"/>
    <w:rPr>
      <w:rFonts w:ascii="Arial" w:hAnsi="Arial"/>
      <w:b/>
      <w:sz w:val="22"/>
      <w:szCs w:val="22"/>
    </w:rPr>
  </w:style>
  <w:style w:type="character" w:customStyle="1" w:styleId="berschrift6Zchn">
    <w:name w:val="Überschrift 6 Zchn"/>
    <w:basedOn w:val="Absatz-Standardschriftart"/>
    <w:link w:val="berschrift6"/>
    <w:uiPriority w:val="9"/>
    <w:rsid w:val="000A4638"/>
    <w:rPr>
      <w:rFonts w:ascii="Arial" w:hAnsi="Arial"/>
      <w:b/>
      <w:iCs/>
      <w:sz w:val="22"/>
      <w:szCs w:val="22"/>
    </w:rPr>
  </w:style>
  <w:style w:type="character" w:customStyle="1" w:styleId="berschrift7Zchn">
    <w:name w:val="Überschrift 7 Zchn"/>
    <w:basedOn w:val="Absatz-Standardschriftart"/>
    <w:link w:val="berschrift7"/>
    <w:uiPriority w:val="9"/>
    <w:rsid w:val="00C66E80"/>
    <w:rPr>
      <w:rFonts w:ascii="Cambria" w:hAnsi="Cambria"/>
      <w:i/>
      <w:iCs/>
      <w:color w:val="404040"/>
      <w:sz w:val="22"/>
      <w:szCs w:val="22"/>
    </w:rPr>
  </w:style>
  <w:style w:type="character" w:customStyle="1" w:styleId="berschrift9Zchn">
    <w:name w:val="Überschrift 9 Zchn"/>
    <w:basedOn w:val="Absatz-Standardschriftart"/>
    <w:link w:val="berschrift9"/>
    <w:uiPriority w:val="9"/>
    <w:rsid w:val="00C66E80"/>
    <w:rPr>
      <w:rFonts w:ascii="Cambria" w:hAnsi="Cambria"/>
      <w:i/>
      <w:iCs/>
      <w:color w:val="404040"/>
    </w:rPr>
  </w:style>
  <w:style w:type="paragraph" w:customStyle="1" w:styleId="Tabellentext">
    <w:name w:val="Tabellentext"/>
    <w:basedOn w:val="Standard"/>
    <w:qFormat/>
    <w:rsid w:val="00C66E80"/>
    <w:pPr>
      <w:spacing w:before="60" w:after="60" w:line="240" w:lineRule="auto"/>
    </w:pPr>
    <w:rPr>
      <w:color w:val="000000"/>
      <w:sz w:val="20"/>
    </w:rPr>
  </w:style>
  <w:style w:type="table" w:styleId="Tabellenraster">
    <w:name w:val="Table Grid"/>
    <w:basedOn w:val="NormaleTabelle"/>
    <w:uiPriority w:val="59"/>
    <w:rsid w:val="00F90C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basedOn w:val="Absatz-Standardschriftart"/>
    <w:uiPriority w:val="99"/>
    <w:semiHidden/>
    <w:unhideWhenUsed/>
    <w:rsid w:val="00AD3C3A"/>
    <w:rPr>
      <w:color w:val="800080"/>
      <w:u w:val="single"/>
    </w:rPr>
  </w:style>
  <w:style w:type="table" w:customStyle="1" w:styleId="HelleSchattierung1">
    <w:name w:val="Helle Schattierung1"/>
    <w:basedOn w:val="NormaleTabelle"/>
    <w:uiPriority w:val="60"/>
    <w:rsid w:val="0091524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tandardtabelle">
    <w:name w:val="Standardtabelle"/>
    <w:basedOn w:val="NormaleTabelle"/>
    <w:uiPriority w:val="99"/>
    <w:rsid w:val="005339BD"/>
    <w:rPr>
      <w:rFonts w:ascii="Arial" w:hAnsi="Arial"/>
    </w:rPr>
    <w:tblPr>
      <w:tblStyleRowBandSize w:val="1"/>
      <w:tblBorders>
        <w:bottom w:val="single" w:sz="4" w:space="0" w:color="auto"/>
      </w:tblBorders>
    </w:tblPr>
    <w:tcPr>
      <w:vAlign w:val="center"/>
    </w:tcPr>
    <w:tblStylePr w:type="firstRow">
      <w:pPr>
        <w:jc w:val="left"/>
      </w:pPr>
      <w:rPr>
        <w:rFonts w:ascii="Arial" w:hAnsi="Arial"/>
        <w:b/>
        <w:sz w:val="20"/>
      </w:rPr>
      <w:tblPr/>
      <w:tcPr>
        <w:tcBorders>
          <w:top w:val="single" w:sz="4" w:space="0" w:color="auto"/>
          <w:bottom w:val="single" w:sz="4" w:space="0" w:color="auto"/>
        </w:tcBorders>
      </w:tcPr>
    </w:tblStylePr>
    <w:tblStylePr w:type="band1Horz">
      <w:tblPr/>
      <w:tcPr>
        <w:shd w:val="clear" w:color="auto" w:fill="D9D9D9"/>
      </w:tcPr>
    </w:tblStylePr>
  </w:style>
  <w:style w:type="paragraph" w:styleId="Beschriftung">
    <w:name w:val="caption"/>
    <w:basedOn w:val="Standard"/>
    <w:next w:val="Standard"/>
    <w:unhideWhenUsed/>
    <w:qFormat/>
    <w:rsid w:val="00021408"/>
    <w:pPr>
      <w:spacing w:before="120" w:after="240" w:line="240" w:lineRule="auto"/>
    </w:pPr>
    <w:rPr>
      <w:bCs/>
      <w:i/>
      <w:sz w:val="20"/>
      <w:szCs w:val="20"/>
    </w:rPr>
  </w:style>
  <w:style w:type="character" w:customStyle="1" w:styleId="testo">
    <w:name w:val="testo"/>
    <w:basedOn w:val="Absatz-Standardschriftart"/>
    <w:rsid w:val="00F42D11"/>
  </w:style>
  <w:style w:type="table" w:customStyle="1" w:styleId="HelleSchattierung-Akzent11">
    <w:name w:val="Helle Schattierung - Akzent 11"/>
    <w:basedOn w:val="NormaleTabelle"/>
    <w:uiPriority w:val="60"/>
    <w:rsid w:val="00D04406"/>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StandardWeb">
    <w:name w:val="Normal (Web)"/>
    <w:basedOn w:val="Standard"/>
    <w:uiPriority w:val="99"/>
    <w:semiHidden/>
    <w:unhideWhenUsed/>
    <w:rsid w:val="00C026E5"/>
    <w:pPr>
      <w:spacing w:before="100" w:beforeAutospacing="1" w:after="100" w:afterAutospacing="1" w:line="240" w:lineRule="auto"/>
    </w:pPr>
    <w:rPr>
      <w:rFonts w:ascii="Times New Roman" w:hAnsi="Times New Roman"/>
      <w:sz w:val="24"/>
      <w:szCs w:val="24"/>
    </w:rPr>
  </w:style>
  <w:style w:type="character" w:styleId="Kommentarzeichen">
    <w:name w:val="annotation reference"/>
    <w:basedOn w:val="Absatz-Standardschriftart"/>
    <w:uiPriority w:val="99"/>
    <w:semiHidden/>
    <w:unhideWhenUsed/>
    <w:rsid w:val="007C7153"/>
    <w:rPr>
      <w:sz w:val="16"/>
      <w:szCs w:val="16"/>
    </w:rPr>
  </w:style>
  <w:style w:type="paragraph" w:styleId="Kommentartext">
    <w:name w:val="annotation text"/>
    <w:basedOn w:val="Standard"/>
    <w:link w:val="KommentartextZchn"/>
    <w:uiPriority w:val="99"/>
    <w:semiHidden/>
    <w:unhideWhenUsed/>
    <w:rsid w:val="007C7153"/>
    <w:rPr>
      <w:sz w:val="20"/>
      <w:szCs w:val="20"/>
    </w:rPr>
  </w:style>
  <w:style w:type="character" w:customStyle="1" w:styleId="KommentartextZchn">
    <w:name w:val="Kommentartext Zchn"/>
    <w:basedOn w:val="Absatz-Standardschriftart"/>
    <w:link w:val="Kommentartext"/>
    <w:uiPriority w:val="99"/>
    <w:semiHidden/>
    <w:rsid w:val="007C7153"/>
    <w:rPr>
      <w:rFonts w:ascii="Arial" w:hAnsi="Arial"/>
    </w:rPr>
  </w:style>
  <w:style w:type="paragraph" w:styleId="Kommentarthema">
    <w:name w:val="annotation subject"/>
    <w:basedOn w:val="Kommentartext"/>
    <w:next w:val="Kommentartext"/>
    <w:link w:val="KommentarthemaZchn"/>
    <w:uiPriority w:val="99"/>
    <w:semiHidden/>
    <w:unhideWhenUsed/>
    <w:rsid w:val="007C7153"/>
    <w:rPr>
      <w:b/>
      <w:bCs/>
    </w:rPr>
  </w:style>
  <w:style w:type="character" w:customStyle="1" w:styleId="KommentarthemaZchn">
    <w:name w:val="Kommentarthema Zchn"/>
    <w:basedOn w:val="KommentartextZchn"/>
    <w:link w:val="Kommentarthema"/>
    <w:uiPriority w:val="99"/>
    <w:semiHidden/>
    <w:rsid w:val="007C7153"/>
    <w:rPr>
      <w:rFonts w:ascii="Arial" w:hAnsi="Arial"/>
      <w:b/>
      <w:bCs/>
    </w:rPr>
  </w:style>
  <w:style w:type="paragraph" w:styleId="Sprechblasentext">
    <w:name w:val="Balloon Text"/>
    <w:basedOn w:val="Standard"/>
    <w:link w:val="SprechblasentextZchn"/>
    <w:uiPriority w:val="99"/>
    <w:unhideWhenUsed/>
    <w:rsid w:val="007C715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rsid w:val="007C7153"/>
    <w:rPr>
      <w:rFonts w:ascii="Tahoma" w:hAnsi="Tahoma" w:cs="Tahoma"/>
      <w:sz w:val="16"/>
      <w:szCs w:val="16"/>
    </w:rPr>
  </w:style>
  <w:style w:type="character" w:styleId="Platzhaltertext">
    <w:name w:val="Placeholder Text"/>
    <w:basedOn w:val="Absatz-Standardschriftart"/>
    <w:uiPriority w:val="99"/>
    <w:semiHidden/>
    <w:rsid w:val="001038D6"/>
    <w:rPr>
      <w:color w:val="808080"/>
    </w:rPr>
  </w:style>
  <w:style w:type="character" w:styleId="SchwacherVerweis">
    <w:name w:val="Subtle Reference"/>
    <w:basedOn w:val="Absatz-Standardschriftart"/>
    <w:uiPriority w:val="31"/>
    <w:qFormat/>
    <w:rsid w:val="006035C8"/>
    <w:rPr>
      <w:smallCaps/>
      <w:color w:val="C0504D" w:themeColor="accent2"/>
      <w:u w:val="single"/>
    </w:rPr>
  </w:style>
  <w:style w:type="paragraph" w:styleId="NurText">
    <w:name w:val="Plain Text"/>
    <w:basedOn w:val="Standard"/>
    <w:link w:val="NurTextZchn"/>
    <w:uiPriority w:val="99"/>
    <w:unhideWhenUsed/>
    <w:rsid w:val="00DC4A3E"/>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rsid w:val="00DC4A3E"/>
    <w:rPr>
      <w:rFonts w:ascii="Consolas" w:hAnsi="Consolas"/>
      <w:sz w:val="21"/>
      <w:szCs w:val="21"/>
    </w:rPr>
  </w:style>
  <w:style w:type="character" w:styleId="SchwacheHervorhebung">
    <w:name w:val="Subtle Emphasis"/>
    <w:basedOn w:val="Absatz-Standardschriftart"/>
    <w:uiPriority w:val="19"/>
    <w:qFormat/>
    <w:rsid w:val="00D94381"/>
    <w:rPr>
      <w:i/>
      <w:iCs/>
      <w:color w:val="808080" w:themeColor="text1" w:themeTint="7F"/>
    </w:rPr>
  </w:style>
  <w:style w:type="paragraph" w:styleId="Inhaltsverzeichnisberschrift0">
    <w:name w:val="TOC Heading"/>
    <w:basedOn w:val="berschrift1"/>
    <w:next w:val="Standard"/>
    <w:uiPriority w:val="39"/>
    <w:semiHidden/>
    <w:unhideWhenUsed/>
    <w:qFormat/>
    <w:rsid w:val="00BF6DBB"/>
    <w:pPr>
      <w:pageBreakBefore w:val="0"/>
      <w:numPr>
        <w:numId w:val="0"/>
      </w:numPr>
      <w:spacing w:after="0" w:line="276" w:lineRule="auto"/>
      <w:outlineLvl w:val="9"/>
    </w:pPr>
    <w:rPr>
      <w:rFonts w:asciiTheme="majorHAnsi" w:eastAsiaTheme="majorEastAsia" w:hAnsiTheme="majorHAnsi" w:cstheme="majorBidi"/>
      <w:color w:val="365F91" w:themeColor="accent1" w:themeShade="BF"/>
      <w:sz w:val="28"/>
      <w:lang w:eastAsia="en-US"/>
    </w:rPr>
  </w:style>
  <w:style w:type="paragraph" w:customStyle="1" w:styleId="EndNoteBibliographyTitle">
    <w:name w:val="EndNote Bibliography Title"/>
    <w:basedOn w:val="Standard"/>
    <w:link w:val="EndNoteBibliographyTitleZchn"/>
    <w:rsid w:val="00112412"/>
    <w:pPr>
      <w:spacing w:after="0"/>
      <w:jc w:val="center"/>
    </w:pPr>
    <w:rPr>
      <w:rFonts w:cs="Arial"/>
      <w:noProof/>
    </w:rPr>
  </w:style>
  <w:style w:type="character" w:customStyle="1" w:styleId="EndNoteBibliographyTitleZchn">
    <w:name w:val="EndNote Bibliography Title Zchn"/>
    <w:basedOn w:val="berschrift5Zchn"/>
    <w:link w:val="EndNoteBibliographyTitle"/>
    <w:rsid w:val="00112412"/>
    <w:rPr>
      <w:rFonts w:ascii="Arial" w:hAnsi="Arial" w:cs="Arial"/>
      <w:b w:val="0"/>
      <w:noProof/>
      <w:sz w:val="22"/>
      <w:szCs w:val="22"/>
    </w:rPr>
  </w:style>
  <w:style w:type="paragraph" w:customStyle="1" w:styleId="EndNoteBibliography">
    <w:name w:val="EndNote Bibliography"/>
    <w:basedOn w:val="Standard"/>
    <w:link w:val="EndNoteBibliographyZchn"/>
    <w:rsid w:val="00112412"/>
    <w:pPr>
      <w:spacing w:line="240" w:lineRule="auto"/>
    </w:pPr>
    <w:rPr>
      <w:rFonts w:cs="Arial"/>
      <w:noProof/>
    </w:rPr>
  </w:style>
  <w:style w:type="character" w:customStyle="1" w:styleId="EndNoteBibliographyZchn">
    <w:name w:val="EndNote Bibliography Zchn"/>
    <w:basedOn w:val="berschrift5Zchn"/>
    <w:link w:val="EndNoteBibliography"/>
    <w:rsid w:val="00112412"/>
    <w:rPr>
      <w:rFonts w:ascii="Arial" w:hAnsi="Arial" w:cs="Arial"/>
      <w:b w:val="0"/>
      <w:noProof/>
      <w:sz w:val="22"/>
      <w:szCs w:val="22"/>
    </w:rPr>
  </w:style>
  <w:style w:type="table" w:styleId="MittleresRaster3-Akzent3">
    <w:name w:val="Medium Grid 3 Accent 3"/>
    <w:basedOn w:val="NormaleTabelle"/>
    <w:uiPriority w:val="69"/>
    <w:rsid w:val="00CC09A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0" w:qFormat="1"/>
    <w:lsdException w:name="heading 9" w:semiHidden="0" w:uiPriority="0" w:unhideWhenUsed="0" w:qFormat="1"/>
    <w:lsdException w:name="toc 1" w:uiPriority="39"/>
    <w:lsdException w:name="toc 2" w:uiPriority="39"/>
    <w:lsdException w:name="toc 3" w:uiPriority="39"/>
    <w:lsdException w:name="toc 4" w:uiPriority="0"/>
    <w:lsdException w:name="toc 5" w:uiPriority="0"/>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List"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605E62"/>
    <w:pPr>
      <w:spacing w:after="120" w:line="312" w:lineRule="auto"/>
    </w:pPr>
    <w:rPr>
      <w:rFonts w:ascii="Arial" w:hAnsi="Arial"/>
      <w:sz w:val="22"/>
      <w:szCs w:val="22"/>
    </w:rPr>
  </w:style>
  <w:style w:type="paragraph" w:styleId="berschrift1">
    <w:name w:val="heading 1"/>
    <w:basedOn w:val="Standard"/>
    <w:next w:val="Standard"/>
    <w:link w:val="berschrift1Zchn"/>
    <w:qFormat/>
    <w:rsid w:val="00C66E80"/>
    <w:pPr>
      <w:keepNext/>
      <w:keepLines/>
      <w:pageBreakBefore/>
      <w:numPr>
        <w:numId w:val="8"/>
      </w:numPr>
      <w:spacing w:before="480" w:after="240"/>
      <w:outlineLvl w:val="0"/>
    </w:pPr>
    <w:rPr>
      <w:b/>
      <w:bCs/>
      <w:sz w:val="32"/>
      <w:szCs w:val="28"/>
    </w:rPr>
  </w:style>
  <w:style w:type="paragraph" w:styleId="berschrift2">
    <w:name w:val="heading 2"/>
    <w:basedOn w:val="Standard"/>
    <w:next w:val="Standard"/>
    <w:link w:val="berschrift2Zchn"/>
    <w:unhideWhenUsed/>
    <w:qFormat/>
    <w:rsid w:val="00C66E80"/>
    <w:pPr>
      <w:keepNext/>
      <w:keepLines/>
      <w:numPr>
        <w:ilvl w:val="1"/>
        <w:numId w:val="8"/>
      </w:numPr>
      <w:spacing w:before="480" w:after="240"/>
      <w:outlineLvl w:val="1"/>
    </w:pPr>
    <w:rPr>
      <w:b/>
      <w:bCs/>
      <w:sz w:val="28"/>
      <w:szCs w:val="26"/>
    </w:rPr>
  </w:style>
  <w:style w:type="paragraph" w:styleId="berschrift3">
    <w:name w:val="heading 3"/>
    <w:basedOn w:val="Standard"/>
    <w:next w:val="Standard"/>
    <w:link w:val="berschrift3Zchn"/>
    <w:unhideWhenUsed/>
    <w:qFormat/>
    <w:rsid w:val="00C66E80"/>
    <w:pPr>
      <w:keepNext/>
      <w:keepLines/>
      <w:numPr>
        <w:ilvl w:val="2"/>
        <w:numId w:val="8"/>
      </w:numPr>
      <w:spacing w:before="240"/>
      <w:outlineLvl w:val="2"/>
    </w:pPr>
    <w:rPr>
      <w:b/>
      <w:bCs/>
    </w:rPr>
  </w:style>
  <w:style w:type="paragraph" w:styleId="berschrift4">
    <w:name w:val="heading 4"/>
    <w:basedOn w:val="Standard"/>
    <w:next w:val="Standard"/>
    <w:link w:val="berschrift4Zchn"/>
    <w:unhideWhenUsed/>
    <w:qFormat/>
    <w:rsid w:val="00C66E80"/>
    <w:pPr>
      <w:keepNext/>
      <w:keepLines/>
      <w:numPr>
        <w:ilvl w:val="3"/>
        <w:numId w:val="8"/>
      </w:numPr>
      <w:spacing w:before="200"/>
      <w:outlineLvl w:val="3"/>
    </w:pPr>
    <w:rPr>
      <w:b/>
      <w:bCs/>
      <w:i/>
      <w:iCs/>
    </w:rPr>
  </w:style>
  <w:style w:type="paragraph" w:styleId="berschrift5">
    <w:name w:val="heading 5"/>
    <w:basedOn w:val="Standard"/>
    <w:next w:val="Standard"/>
    <w:link w:val="berschrift5Zchn"/>
    <w:unhideWhenUsed/>
    <w:qFormat/>
    <w:rsid w:val="00047A89"/>
    <w:pPr>
      <w:keepNext/>
      <w:keepLines/>
      <w:numPr>
        <w:ilvl w:val="4"/>
        <w:numId w:val="8"/>
      </w:numPr>
      <w:spacing w:before="200" w:after="40"/>
      <w:outlineLvl w:val="4"/>
    </w:pPr>
    <w:rPr>
      <w:b/>
    </w:rPr>
  </w:style>
  <w:style w:type="paragraph" w:styleId="berschrift6">
    <w:name w:val="heading 6"/>
    <w:basedOn w:val="Standard"/>
    <w:next w:val="Standard"/>
    <w:link w:val="berschrift6Zchn"/>
    <w:unhideWhenUsed/>
    <w:qFormat/>
    <w:rsid w:val="000A4638"/>
    <w:pPr>
      <w:keepNext/>
      <w:keepLines/>
      <w:numPr>
        <w:ilvl w:val="5"/>
        <w:numId w:val="8"/>
      </w:numPr>
      <w:spacing w:before="60" w:after="60" w:line="240" w:lineRule="auto"/>
      <w:outlineLvl w:val="5"/>
    </w:pPr>
    <w:rPr>
      <w:b/>
      <w:iCs/>
    </w:rPr>
  </w:style>
  <w:style w:type="paragraph" w:styleId="berschrift7">
    <w:name w:val="heading 7"/>
    <w:basedOn w:val="Standard"/>
    <w:next w:val="Standard"/>
    <w:link w:val="berschrift7Zchn"/>
    <w:unhideWhenUsed/>
    <w:qFormat/>
    <w:rsid w:val="00C66E80"/>
    <w:pPr>
      <w:keepNext/>
      <w:keepLines/>
      <w:numPr>
        <w:ilvl w:val="6"/>
        <w:numId w:val="8"/>
      </w:numPr>
      <w:spacing w:before="200" w:after="0"/>
      <w:outlineLvl w:val="6"/>
    </w:pPr>
    <w:rPr>
      <w:rFonts w:ascii="Cambria" w:hAnsi="Cambria"/>
      <w:i/>
      <w:iCs/>
      <w:color w:val="404040"/>
    </w:rPr>
  </w:style>
  <w:style w:type="paragraph" w:styleId="berschrift8">
    <w:name w:val="heading 8"/>
    <w:basedOn w:val="Standard"/>
    <w:next w:val="Standard"/>
    <w:link w:val="berschrift8Zchn"/>
    <w:unhideWhenUsed/>
    <w:qFormat/>
    <w:rsid w:val="00C66E80"/>
    <w:pPr>
      <w:keepNext/>
      <w:keepLines/>
      <w:numPr>
        <w:ilvl w:val="7"/>
        <w:numId w:val="8"/>
      </w:numPr>
      <w:spacing w:before="200" w:after="0"/>
      <w:outlineLvl w:val="7"/>
    </w:pPr>
    <w:rPr>
      <w:rFonts w:ascii="Cambria" w:hAnsi="Cambria"/>
      <w:color w:val="404040"/>
      <w:sz w:val="20"/>
      <w:szCs w:val="20"/>
    </w:rPr>
  </w:style>
  <w:style w:type="paragraph" w:styleId="berschrift9">
    <w:name w:val="heading 9"/>
    <w:basedOn w:val="Standard"/>
    <w:next w:val="Standard"/>
    <w:link w:val="berschrift9Zchn"/>
    <w:unhideWhenUsed/>
    <w:qFormat/>
    <w:rsid w:val="00C66E80"/>
    <w:pPr>
      <w:keepNext/>
      <w:keepLines/>
      <w:numPr>
        <w:ilvl w:val="8"/>
        <w:numId w:val="8"/>
      </w:numPr>
      <w:spacing w:before="200" w:after="0"/>
      <w:outlineLvl w:val="8"/>
    </w:pPr>
    <w:rPr>
      <w:rFonts w:ascii="Cambria" w:hAnsi="Cambria"/>
      <w:i/>
      <w:iCs/>
      <w:color w:val="404040"/>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Nummerierungszeichen">
    <w:name w:val="Nummerierungszeichen"/>
    <w:rsid w:val="00A41669"/>
  </w:style>
  <w:style w:type="character" w:customStyle="1" w:styleId="Aufzhlungszeichen1">
    <w:name w:val="Aufzählungszeichen1"/>
    <w:rsid w:val="00A41669"/>
    <w:rPr>
      <w:rFonts w:ascii="StarSymbol" w:eastAsia="StarSymbol" w:hAnsi="StarSymbol" w:cs="StarSymbol"/>
      <w:sz w:val="18"/>
      <w:szCs w:val="18"/>
    </w:rPr>
  </w:style>
  <w:style w:type="character" w:styleId="Hyperlink">
    <w:name w:val="Hyperlink"/>
    <w:uiPriority w:val="99"/>
    <w:rsid w:val="00A41669"/>
    <w:rPr>
      <w:color w:val="000080"/>
      <w:u w:val="single"/>
    </w:rPr>
  </w:style>
  <w:style w:type="character" w:styleId="Hervorhebung">
    <w:name w:val="Emphasis"/>
    <w:uiPriority w:val="20"/>
    <w:qFormat/>
    <w:rsid w:val="00491873"/>
    <w:rPr>
      <w:i/>
      <w:iCs/>
    </w:rPr>
  </w:style>
  <w:style w:type="character" w:styleId="Fett">
    <w:name w:val="Strong"/>
    <w:uiPriority w:val="22"/>
    <w:qFormat/>
    <w:rsid w:val="00491873"/>
    <w:rPr>
      <w:b/>
      <w:bCs/>
    </w:rPr>
  </w:style>
  <w:style w:type="paragraph" w:styleId="Textkrper">
    <w:name w:val="Body Text"/>
    <w:basedOn w:val="Standard"/>
    <w:link w:val="TextkrperZchn"/>
    <w:semiHidden/>
    <w:rsid w:val="00FC564C"/>
  </w:style>
  <w:style w:type="paragraph" w:customStyle="1" w:styleId="berschrift">
    <w:name w:val="Überschrift"/>
    <w:basedOn w:val="berschrift1"/>
    <w:qFormat/>
    <w:rsid w:val="00C66E80"/>
    <w:pPr>
      <w:pageBreakBefore w:val="0"/>
      <w:numPr>
        <w:numId w:val="0"/>
      </w:numPr>
    </w:pPr>
  </w:style>
  <w:style w:type="paragraph" w:customStyle="1" w:styleId="berschrift10">
    <w:name w:val="Überschrift 10"/>
    <w:basedOn w:val="berschrift"/>
    <w:next w:val="Textkrper"/>
    <w:rsid w:val="00A41669"/>
    <w:pPr>
      <w:numPr>
        <w:ilvl w:val="8"/>
        <w:numId w:val="1"/>
      </w:numPr>
      <w:outlineLvl w:val="8"/>
    </w:pPr>
    <w:rPr>
      <w:sz w:val="21"/>
      <w:szCs w:val="21"/>
    </w:rPr>
  </w:style>
  <w:style w:type="paragraph" w:styleId="Liste">
    <w:name w:val="List"/>
    <w:basedOn w:val="Textkrper"/>
    <w:semiHidden/>
    <w:rsid w:val="00A41669"/>
    <w:rPr>
      <w:rFonts w:cs="Tahoma"/>
    </w:rPr>
  </w:style>
  <w:style w:type="paragraph" w:customStyle="1" w:styleId="Beschriftung1">
    <w:name w:val="Beschriftung1"/>
    <w:basedOn w:val="Standard"/>
    <w:rsid w:val="00A41669"/>
    <w:pPr>
      <w:suppressLineNumbers/>
      <w:spacing w:before="120"/>
    </w:pPr>
    <w:rPr>
      <w:rFonts w:cs="Tahoma"/>
      <w:i/>
      <w:iCs/>
      <w:sz w:val="24"/>
      <w:szCs w:val="24"/>
    </w:rPr>
  </w:style>
  <w:style w:type="paragraph" w:customStyle="1" w:styleId="Verzeichnis">
    <w:name w:val="Verzeichnis"/>
    <w:basedOn w:val="Standard"/>
    <w:rsid w:val="00A41669"/>
    <w:pPr>
      <w:suppressLineNumbers/>
    </w:pPr>
    <w:rPr>
      <w:rFonts w:cs="Tahoma"/>
    </w:rPr>
  </w:style>
  <w:style w:type="paragraph" w:styleId="Titel">
    <w:name w:val="Title"/>
    <w:basedOn w:val="berschrift"/>
    <w:next w:val="Untertitel"/>
    <w:uiPriority w:val="10"/>
    <w:qFormat/>
    <w:rsid w:val="00491873"/>
    <w:pPr>
      <w:keepNext w:val="0"/>
      <w:pBdr>
        <w:bottom w:val="single" w:sz="8" w:space="4" w:color="4F81BD"/>
      </w:pBdr>
      <w:spacing w:before="0" w:after="300" w:line="240" w:lineRule="auto"/>
      <w:contextualSpacing/>
    </w:pPr>
    <w:rPr>
      <w:rFonts w:ascii="Cambria" w:hAnsi="Cambria"/>
      <w:color w:val="17365D"/>
      <w:spacing w:val="5"/>
      <w:kern w:val="28"/>
      <w:sz w:val="52"/>
      <w:szCs w:val="52"/>
    </w:rPr>
  </w:style>
  <w:style w:type="paragraph" w:styleId="Untertitel">
    <w:name w:val="Subtitle"/>
    <w:basedOn w:val="berschrift"/>
    <w:next w:val="Textkrper"/>
    <w:uiPriority w:val="11"/>
    <w:qFormat/>
    <w:rsid w:val="00491873"/>
    <w:pPr>
      <w:keepNext w:val="0"/>
      <w:numPr>
        <w:ilvl w:val="1"/>
      </w:numPr>
      <w:spacing w:before="0" w:after="120"/>
    </w:pPr>
    <w:rPr>
      <w:rFonts w:ascii="Cambria" w:hAnsi="Cambria"/>
      <w:i/>
      <w:iCs/>
      <w:color w:val="4F81BD"/>
      <w:spacing w:val="15"/>
      <w:sz w:val="24"/>
      <w:szCs w:val="24"/>
    </w:rPr>
  </w:style>
  <w:style w:type="paragraph" w:styleId="Textkrper-Zeileneinzug">
    <w:name w:val="Body Text Indent"/>
    <w:basedOn w:val="Textkrper"/>
    <w:link w:val="Textkrper-ZeileneinzugZchn"/>
    <w:semiHidden/>
    <w:rsid w:val="00A41669"/>
    <w:pPr>
      <w:ind w:left="283"/>
    </w:pPr>
  </w:style>
  <w:style w:type="paragraph" w:styleId="Textkrper-Erstzeileneinzug">
    <w:name w:val="Body Text First Indent"/>
    <w:basedOn w:val="Textkrper"/>
    <w:semiHidden/>
    <w:rsid w:val="00A41669"/>
    <w:pPr>
      <w:ind w:firstLine="283"/>
    </w:pPr>
  </w:style>
  <w:style w:type="paragraph" w:customStyle="1" w:styleId="TextkrperEinzugnegativ">
    <w:name w:val="Textkörper Einzug negativ"/>
    <w:basedOn w:val="Textkrper"/>
    <w:rsid w:val="00A41669"/>
    <w:pPr>
      <w:tabs>
        <w:tab w:val="left" w:pos="567"/>
      </w:tabs>
      <w:ind w:left="567" w:hanging="283"/>
    </w:pPr>
  </w:style>
  <w:style w:type="paragraph" w:customStyle="1" w:styleId="Nummerierung1">
    <w:name w:val="Nummerierung 1"/>
    <w:basedOn w:val="Liste"/>
    <w:rsid w:val="00A41669"/>
    <w:pPr>
      <w:ind w:left="360" w:hanging="360"/>
    </w:pPr>
  </w:style>
  <w:style w:type="paragraph" w:customStyle="1" w:styleId="Tabelle">
    <w:name w:val="Tabelle"/>
    <w:basedOn w:val="Beschriftung1"/>
    <w:rsid w:val="00A41669"/>
  </w:style>
  <w:style w:type="paragraph" w:customStyle="1" w:styleId="Text">
    <w:name w:val="Text"/>
    <w:basedOn w:val="Beschriftung1"/>
    <w:rsid w:val="00A41669"/>
  </w:style>
  <w:style w:type="paragraph" w:styleId="Kopfzeile">
    <w:name w:val="header"/>
    <w:basedOn w:val="Standard"/>
    <w:semiHidden/>
    <w:rsid w:val="00A41669"/>
    <w:pPr>
      <w:suppressLineNumbers/>
      <w:tabs>
        <w:tab w:val="center" w:pos="4818"/>
        <w:tab w:val="right" w:pos="9637"/>
      </w:tabs>
    </w:pPr>
  </w:style>
  <w:style w:type="paragraph" w:styleId="Fuzeile">
    <w:name w:val="footer"/>
    <w:basedOn w:val="Standard"/>
    <w:semiHidden/>
    <w:rsid w:val="00A41669"/>
    <w:pPr>
      <w:suppressLineNumbers/>
      <w:tabs>
        <w:tab w:val="center" w:pos="4818"/>
        <w:tab w:val="right" w:pos="9637"/>
      </w:tabs>
    </w:pPr>
    <w:rPr>
      <w:sz w:val="18"/>
    </w:rPr>
  </w:style>
  <w:style w:type="paragraph" w:customStyle="1" w:styleId="Aufzhlung1">
    <w:name w:val="Aufzählung 1"/>
    <w:basedOn w:val="Liste"/>
    <w:rsid w:val="00A41669"/>
    <w:pPr>
      <w:ind w:left="360" w:hanging="360"/>
    </w:pPr>
  </w:style>
  <w:style w:type="paragraph" w:styleId="Unterschrift">
    <w:name w:val="Signature"/>
    <w:basedOn w:val="Standard"/>
    <w:semiHidden/>
    <w:rsid w:val="00A41669"/>
    <w:pPr>
      <w:suppressLineNumbers/>
    </w:pPr>
  </w:style>
  <w:style w:type="paragraph" w:styleId="Funotentext">
    <w:name w:val="footnote text"/>
    <w:basedOn w:val="Standard"/>
    <w:semiHidden/>
    <w:rsid w:val="00A41669"/>
    <w:pPr>
      <w:suppressLineNumbers/>
      <w:ind w:left="283" w:hanging="283"/>
    </w:pPr>
    <w:rPr>
      <w:sz w:val="16"/>
      <w:szCs w:val="20"/>
    </w:rPr>
  </w:style>
  <w:style w:type="paragraph" w:customStyle="1" w:styleId="TextkrperAufzhlungeng">
    <w:name w:val="Textkörper Aufzählung eng"/>
    <w:basedOn w:val="Standard"/>
    <w:rsid w:val="00A41669"/>
    <w:pPr>
      <w:numPr>
        <w:numId w:val="2"/>
      </w:numPr>
      <w:spacing w:after="57"/>
      <w:ind w:left="283" w:firstLine="0"/>
    </w:pPr>
  </w:style>
  <w:style w:type="paragraph" w:customStyle="1" w:styleId="TextkrperAufzhlung">
    <w:name w:val="Textkörper Aufzählung"/>
    <w:basedOn w:val="Textkrper-Zeileneinzug"/>
    <w:rsid w:val="00A41669"/>
    <w:pPr>
      <w:spacing w:after="850"/>
    </w:pPr>
  </w:style>
  <w:style w:type="paragraph" w:customStyle="1" w:styleId="Literaturverzeichnisberschrift">
    <w:name w:val="Literaturverzeichnis Überschrift"/>
    <w:basedOn w:val="berschrift"/>
    <w:rsid w:val="00A41669"/>
    <w:pPr>
      <w:pageBreakBefore/>
      <w:suppressLineNumbers/>
    </w:pPr>
    <w:rPr>
      <w:szCs w:val="32"/>
    </w:rPr>
  </w:style>
  <w:style w:type="paragraph" w:customStyle="1" w:styleId="Inhaltsverzeichnisberschrift">
    <w:name w:val="Inhaltsverzeichnis Überschrift"/>
    <w:basedOn w:val="berschrift"/>
    <w:rsid w:val="00A41669"/>
    <w:pPr>
      <w:pageBreakBefore/>
      <w:suppressLineNumbers/>
    </w:pPr>
    <w:rPr>
      <w:szCs w:val="32"/>
    </w:rPr>
  </w:style>
  <w:style w:type="paragraph" w:styleId="Verzeichnis4">
    <w:name w:val="toc 4"/>
    <w:basedOn w:val="Verzeichnis"/>
    <w:semiHidden/>
    <w:rsid w:val="00A41669"/>
    <w:pPr>
      <w:tabs>
        <w:tab w:val="right" w:leader="dot" w:pos="9638"/>
      </w:tabs>
      <w:spacing w:after="28"/>
      <w:ind w:left="849"/>
    </w:pPr>
  </w:style>
  <w:style w:type="paragraph" w:styleId="Verzeichnis5">
    <w:name w:val="toc 5"/>
    <w:basedOn w:val="Verzeichnis"/>
    <w:semiHidden/>
    <w:rsid w:val="00A41669"/>
    <w:pPr>
      <w:tabs>
        <w:tab w:val="right" w:leader="dot" w:pos="9638"/>
      </w:tabs>
      <w:spacing w:after="28"/>
      <w:ind w:left="1132"/>
    </w:pPr>
  </w:style>
  <w:style w:type="paragraph" w:styleId="Verzeichnis3">
    <w:name w:val="toc 3"/>
    <w:basedOn w:val="Verzeichnis"/>
    <w:uiPriority w:val="39"/>
    <w:rsid w:val="00A41669"/>
    <w:pPr>
      <w:tabs>
        <w:tab w:val="right" w:leader="dot" w:pos="9638"/>
      </w:tabs>
      <w:spacing w:after="28"/>
      <w:ind w:left="566"/>
    </w:pPr>
  </w:style>
  <w:style w:type="paragraph" w:styleId="Verzeichnis2">
    <w:name w:val="toc 2"/>
    <w:basedOn w:val="Verzeichnis"/>
    <w:uiPriority w:val="39"/>
    <w:rsid w:val="00A41669"/>
    <w:pPr>
      <w:tabs>
        <w:tab w:val="right" w:leader="dot" w:pos="9638"/>
      </w:tabs>
      <w:spacing w:after="28"/>
      <w:ind w:left="283"/>
    </w:pPr>
    <w:rPr>
      <w:b/>
      <w:i/>
    </w:rPr>
  </w:style>
  <w:style w:type="paragraph" w:customStyle="1" w:styleId="Benutzerverzeichnis3">
    <w:name w:val="Benutzerverzeichnis 3"/>
    <w:basedOn w:val="Verzeichnis"/>
    <w:rsid w:val="00A41669"/>
    <w:pPr>
      <w:tabs>
        <w:tab w:val="right" w:leader="dot" w:pos="9638"/>
      </w:tabs>
      <w:spacing w:after="28"/>
      <w:ind w:left="566"/>
    </w:pPr>
  </w:style>
  <w:style w:type="paragraph" w:customStyle="1" w:styleId="Benutzerverzeichnis2">
    <w:name w:val="Benutzerverzeichnis 2"/>
    <w:basedOn w:val="Verzeichnis"/>
    <w:rsid w:val="00A41669"/>
    <w:pPr>
      <w:tabs>
        <w:tab w:val="right" w:leader="dot" w:pos="9638"/>
      </w:tabs>
      <w:spacing w:after="28"/>
      <w:ind w:left="283"/>
    </w:pPr>
  </w:style>
  <w:style w:type="paragraph" w:styleId="Verzeichnis1">
    <w:name w:val="toc 1"/>
    <w:basedOn w:val="Verzeichnis"/>
    <w:uiPriority w:val="39"/>
    <w:rsid w:val="00A41669"/>
    <w:pPr>
      <w:tabs>
        <w:tab w:val="right" w:leader="dot" w:pos="9638"/>
      </w:tabs>
      <w:spacing w:after="57"/>
    </w:pPr>
    <w:rPr>
      <w:b/>
      <w:sz w:val="21"/>
    </w:rPr>
  </w:style>
  <w:style w:type="paragraph" w:customStyle="1" w:styleId="TabellenInhalt">
    <w:name w:val="Tabellen Inhalt"/>
    <w:basedOn w:val="Standard"/>
    <w:rsid w:val="00A41669"/>
    <w:pPr>
      <w:suppressLineNumbers/>
    </w:pPr>
  </w:style>
  <w:style w:type="paragraph" w:customStyle="1" w:styleId="Tabellenberschrift">
    <w:name w:val="Tabellen Überschrift"/>
    <w:basedOn w:val="TabellenInhalt"/>
    <w:rsid w:val="00A41669"/>
    <w:pPr>
      <w:jc w:val="center"/>
    </w:pPr>
    <w:rPr>
      <w:b/>
      <w:bCs/>
    </w:rPr>
  </w:style>
  <w:style w:type="paragraph" w:customStyle="1" w:styleId="Listeninhalt">
    <w:name w:val="Listeninhalt"/>
    <w:basedOn w:val="Standard"/>
    <w:rsid w:val="00A41669"/>
    <w:pPr>
      <w:ind w:left="567"/>
    </w:pPr>
  </w:style>
  <w:style w:type="paragraph" w:customStyle="1" w:styleId="Listenkopf">
    <w:name w:val="Listenkopf"/>
    <w:basedOn w:val="Standard"/>
    <w:next w:val="Listeninhalt"/>
    <w:rsid w:val="00A41669"/>
  </w:style>
  <w:style w:type="paragraph" w:styleId="Dokumentstruktur">
    <w:name w:val="Document Map"/>
    <w:basedOn w:val="Standard"/>
    <w:link w:val="DokumentstrukturZchn"/>
    <w:uiPriority w:val="99"/>
    <w:semiHidden/>
    <w:unhideWhenUsed/>
    <w:rsid w:val="00004C1B"/>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004C1B"/>
    <w:rPr>
      <w:rFonts w:ascii="Tahoma" w:eastAsia="Lucida Sans Unicode" w:hAnsi="Tahoma" w:cs="Tahoma"/>
      <w:sz w:val="16"/>
      <w:szCs w:val="16"/>
      <w:lang w:val="de-AT"/>
    </w:rPr>
  </w:style>
  <w:style w:type="character" w:customStyle="1" w:styleId="Textkrper-ZeileneinzugZchn">
    <w:name w:val="Textkörper-Zeileneinzug Zchn"/>
    <w:basedOn w:val="Absatz-Standardschriftart"/>
    <w:link w:val="Textkrper-Zeileneinzug"/>
    <w:semiHidden/>
    <w:rsid w:val="00AF08AC"/>
    <w:rPr>
      <w:rFonts w:ascii="Arial" w:eastAsia="Lucida Sans Unicode" w:hAnsi="Arial"/>
      <w:szCs w:val="24"/>
      <w:lang w:val="de-AT"/>
    </w:rPr>
  </w:style>
  <w:style w:type="paragraph" w:styleId="Listenabsatz">
    <w:name w:val="List Paragraph"/>
    <w:basedOn w:val="Standard"/>
    <w:uiPriority w:val="34"/>
    <w:qFormat/>
    <w:rsid w:val="00C66E80"/>
    <w:pPr>
      <w:ind w:left="720"/>
      <w:contextualSpacing/>
    </w:pPr>
  </w:style>
  <w:style w:type="character" w:customStyle="1" w:styleId="berschrift8Zchn">
    <w:name w:val="Überschrift 8 Zchn"/>
    <w:basedOn w:val="Absatz-Standardschriftart"/>
    <w:link w:val="berschrift8"/>
    <w:uiPriority w:val="9"/>
    <w:semiHidden/>
    <w:rsid w:val="00C66E80"/>
    <w:rPr>
      <w:rFonts w:ascii="Cambria" w:hAnsi="Cambria"/>
      <w:color w:val="404040"/>
    </w:rPr>
  </w:style>
  <w:style w:type="numbering" w:customStyle="1" w:styleId="Formatvorlage1">
    <w:name w:val="Formatvorlage1"/>
    <w:uiPriority w:val="99"/>
    <w:rsid w:val="00DF6C9F"/>
    <w:pPr>
      <w:numPr>
        <w:numId w:val="5"/>
      </w:numPr>
    </w:pPr>
  </w:style>
  <w:style w:type="numbering" w:customStyle="1" w:styleId="Formatvorlage2">
    <w:name w:val="Formatvorlage2"/>
    <w:uiPriority w:val="99"/>
    <w:rsid w:val="00DF6C9F"/>
    <w:pPr>
      <w:numPr>
        <w:numId w:val="6"/>
      </w:numPr>
    </w:pPr>
  </w:style>
  <w:style w:type="paragraph" w:customStyle="1" w:styleId="Aufzhlung">
    <w:name w:val="Aufzählung"/>
    <w:basedOn w:val="Textkrper"/>
    <w:qFormat/>
    <w:rsid w:val="00184545"/>
    <w:pPr>
      <w:numPr>
        <w:numId w:val="3"/>
      </w:numPr>
    </w:pPr>
  </w:style>
  <w:style w:type="paragraph" w:styleId="Aufzhlungszeichen3">
    <w:name w:val="List Bullet 3"/>
    <w:basedOn w:val="Standard"/>
    <w:uiPriority w:val="99"/>
    <w:unhideWhenUsed/>
    <w:rsid w:val="0075499B"/>
    <w:pPr>
      <w:numPr>
        <w:numId w:val="4"/>
      </w:numPr>
      <w:contextualSpacing/>
    </w:pPr>
  </w:style>
  <w:style w:type="character" w:customStyle="1" w:styleId="berschrift4Zchn">
    <w:name w:val="Überschrift 4 Zchn"/>
    <w:basedOn w:val="Absatz-Standardschriftart"/>
    <w:link w:val="berschrift4"/>
    <w:rsid w:val="00C66E80"/>
    <w:rPr>
      <w:rFonts w:ascii="Arial" w:hAnsi="Arial"/>
      <w:b/>
      <w:bCs/>
      <w:i/>
      <w:iCs/>
      <w:sz w:val="22"/>
      <w:szCs w:val="22"/>
    </w:rPr>
  </w:style>
  <w:style w:type="character" w:styleId="Funotenzeichen">
    <w:name w:val="footnote reference"/>
    <w:basedOn w:val="Absatz-Standardschriftart"/>
    <w:uiPriority w:val="99"/>
    <w:semiHidden/>
    <w:unhideWhenUsed/>
    <w:rsid w:val="00D65C04"/>
    <w:rPr>
      <w:vertAlign w:val="superscript"/>
    </w:rPr>
  </w:style>
  <w:style w:type="character" w:customStyle="1" w:styleId="TextkrperZchn">
    <w:name w:val="Textkörper Zchn"/>
    <w:basedOn w:val="Absatz-Standardschriftart"/>
    <w:link w:val="Textkrper"/>
    <w:semiHidden/>
    <w:rsid w:val="00FC564C"/>
    <w:rPr>
      <w:rFonts w:ascii="Arial" w:eastAsia="Lucida Sans Unicode" w:hAnsi="Arial"/>
      <w:sz w:val="22"/>
      <w:szCs w:val="24"/>
      <w:lang w:val="de-AT"/>
    </w:rPr>
  </w:style>
  <w:style w:type="numbering" w:customStyle="1" w:styleId="BerichteFFG">
    <w:name w:val="Berichte FFG"/>
    <w:uiPriority w:val="99"/>
    <w:rsid w:val="00EA03AA"/>
    <w:pPr>
      <w:numPr>
        <w:numId w:val="7"/>
      </w:numPr>
    </w:pPr>
  </w:style>
  <w:style w:type="character" w:customStyle="1" w:styleId="berschrift1Zchn">
    <w:name w:val="Überschrift 1 Zchn"/>
    <w:basedOn w:val="Absatz-Standardschriftart"/>
    <w:link w:val="berschrift1"/>
    <w:uiPriority w:val="9"/>
    <w:rsid w:val="00C66E80"/>
    <w:rPr>
      <w:rFonts w:ascii="Arial" w:hAnsi="Arial"/>
      <w:b/>
      <w:bCs/>
      <w:sz w:val="32"/>
      <w:szCs w:val="28"/>
    </w:rPr>
  </w:style>
  <w:style w:type="character" w:customStyle="1" w:styleId="berschrift2Zchn">
    <w:name w:val="Überschrift 2 Zchn"/>
    <w:basedOn w:val="Absatz-Standardschriftart"/>
    <w:link w:val="berschrift2"/>
    <w:uiPriority w:val="9"/>
    <w:rsid w:val="00C66E80"/>
    <w:rPr>
      <w:rFonts w:ascii="Arial" w:hAnsi="Arial"/>
      <w:b/>
      <w:bCs/>
      <w:sz w:val="28"/>
      <w:szCs w:val="26"/>
    </w:rPr>
  </w:style>
  <w:style w:type="character" w:customStyle="1" w:styleId="berschrift3Zchn">
    <w:name w:val="Überschrift 3 Zchn"/>
    <w:basedOn w:val="Absatz-Standardschriftart"/>
    <w:link w:val="berschrift3"/>
    <w:rsid w:val="00C66E80"/>
    <w:rPr>
      <w:rFonts w:ascii="Arial" w:hAnsi="Arial"/>
      <w:b/>
      <w:bCs/>
      <w:sz w:val="22"/>
      <w:szCs w:val="22"/>
    </w:rPr>
  </w:style>
  <w:style w:type="character" w:customStyle="1" w:styleId="berschrift5Zchn">
    <w:name w:val="Überschrift 5 Zchn"/>
    <w:basedOn w:val="Absatz-Standardschriftart"/>
    <w:link w:val="berschrift5"/>
    <w:rsid w:val="00047A89"/>
    <w:rPr>
      <w:rFonts w:ascii="Arial" w:hAnsi="Arial"/>
      <w:b/>
      <w:sz w:val="22"/>
      <w:szCs w:val="22"/>
    </w:rPr>
  </w:style>
  <w:style w:type="character" w:customStyle="1" w:styleId="berschrift6Zchn">
    <w:name w:val="Überschrift 6 Zchn"/>
    <w:basedOn w:val="Absatz-Standardschriftart"/>
    <w:link w:val="berschrift6"/>
    <w:uiPriority w:val="9"/>
    <w:rsid w:val="000A4638"/>
    <w:rPr>
      <w:rFonts w:ascii="Arial" w:hAnsi="Arial"/>
      <w:b/>
      <w:iCs/>
      <w:sz w:val="22"/>
      <w:szCs w:val="22"/>
    </w:rPr>
  </w:style>
  <w:style w:type="character" w:customStyle="1" w:styleId="berschrift7Zchn">
    <w:name w:val="Überschrift 7 Zchn"/>
    <w:basedOn w:val="Absatz-Standardschriftart"/>
    <w:link w:val="berschrift7"/>
    <w:uiPriority w:val="9"/>
    <w:rsid w:val="00C66E80"/>
    <w:rPr>
      <w:rFonts w:ascii="Cambria" w:hAnsi="Cambria"/>
      <w:i/>
      <w:iCs/>
      <w:color w:val="404040"/>
      <w:sz w:val="22"/>
      <w:szCs w:val="22"/>
    </w:rPr>
  </w:style>
  <w:style w:type="character" w:customStyle="1" w:styleId="berschrift9Zchn">
    <w:name w:val="Überschrift 9 Zchn"/>
    <w:basedOn w:val="Absatz-Standardschriftart"/>
    <w:link w:val="berschrift9"/>
    <w:uiPriority w:val="9"/>
    <w:rsid w:val="00C66E80"/>
    <w:rPr>
      <w:rFonts w:ascii="Cambria" w:hAnsi="Cambria"/>
      <w:i/>
      <w:iCs/>
      <w:color w:val="404040"/>
    </w:rPr>
  </w:style>
  <w:style w:type="paragraph" w:customStyle="1" w:styleId="Tabellentext">
    <w:name w:val="Tabellentext"/>
    <w:basedOn w:val="Standard"/>
    <w:qFormat/>
    <w:rsid w:val="00C66E80"/>
    <w:pPr>
      <w:spacing w:before="60" w:after="60" w:line="240" w:lineRule="auto"/>
    </w:pPr>
    <w:rPr>
      <w:color w:val="000000"/>
      <w:sz w:val="20"/>
    </w:rPr>
  </w:style>
  <w:style w:type="table" w:styleId="Tabellenraster">
    <w:name w:val="Table Grid"/>
    <w:basedOn w:val="NormaleTabelle"/>
    <w:uiPriority w:val="59"/>
    <w:rsid w:val="00F90C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basedOn w:val="Absatz-Standardschriftart"/>
    <w:uiPriority w:val="99"/>
    <w:semiHidden/>
    <w:unhideWhenUsed/>
    <w:rsid w:val="00AD3C3A"/>
    <w:rPr>
      <w:color w:val="800080"/>
      <w:u w:val="single"/>
    </w:rPr>
  </w:style>
  <w:style w:type="table" w:customStyle="1" w:styleId="HelleSchattierung1">
    <w:name w:val="Helle Schattierung1"/>
    <w:basedOn w:val="NormaleTabelle"/>
    <w:uiPriority w:val="60"/>
    <w:rsid w:val="0091524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tandardtabelle">
    <w:name w:val="Standardtabelle"/>
    <w:basedOn w:val="NormaleTabelle"/>
    <w:uiPriority w:val="99"/>
    <w:rsid w:val="005339BD"/>
    <w:rPr>
      <w:rFonts w:ascii="Arial" w:hAnsi="Arial"/>
    </w:rPr>
    <w:tblPr>
      <w:tblStyleRowBandSize w:val="1"/>
      <w:tblBorders>
        <w:bottom w:val="single" w:sz="4" w:space="0" w:color="auto"/>
      </w:tblBorders>
    </w:tblPr>
    <w:tcPr>
      <w:vAlign w:val="center"/>
    </w:tcPr>
    <w:tblStylePr w:type="firstRow">
      <w:pPr>
        <w:jc w:val="left"/>
      </w:pPr>
      <w:rPr>
        <w:rFonts w:ascii="Arial" w:hAnsi="Arial"/>
        <w:b/>
        <w:sz w:val="20"/>
      </w:rPr>
      <w:tblPr/>
      <w:tcPr>
        <w:tcBorders>
          <w:top w:val="single" w:sz="4" w:space="0" w:color="auto"/>
          <w:bottom w:val="single" w:sz="4" w:space="0" w:color="auto"/>
        </w:tcBorders>
      </w:tcPr>
    </w:tblStylePr>
    <w:tblStylePr w:type="band1Horz">
      <w:tblPr/>
      <w:tcPr>
        <w:shd w:val="clear" w:color="auto" w:fill="D9D9D9"/>
      </w:tcPr>
    </w:tblStylePr>
  </w:style>
  <w:style w:type="paragraph" w:styleId="Beschriftung">
    <w:name w:val="caption"/>
    <w:basedOn w:val="Standard"/>
    <w:next w:val="Standard"/>
    <w:unhideWhenUsed/>
    <w:qFormat/>
    <w:rsid w:val="00021408"/>
    <w:pPr>
      <w:spacing w:before="120" w:after="240" w:line="240" w:lineRule="auto"/>
    </w:pPr>
    <w:rPr>
      <w:bCs/>
      <w:i/>
      <w:sz w:val="20"/>
      <w:szCs w:val="20"/>
    </w:rPr>
  </w:style>
  <w:style w:type="character" w:customStyle="1" w:styleId="testo">
    <w:name w:val="testo"/>
    <w:basedOn w:val="Absatz-Standardschriftart"/>
    <w:rsid w:val="00F42D11"/>
  </w:style>
  <w:style w:type="table" w:customStyle="1" w:styleId="HelleSchattierung-Akzent11">
    <w:name w:val="Helle Schattierung - Akzent 11"/>
    <w:basedOn w:val="NormaleTabelle"/>
    <w:uiPriority w:val="60"/>
    <w:rsid w:val="00D04406"/>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StandardWeb">
    <w:name w:val="Normal (Web)"/>
    <w:basedOn w:val="Standard"/>
    <w:uiPriority w:val="99"/>
    <w:semiHidden/>
    <w:unhideWhenUsed/>
    <w:rsid w:val="00C026E5"/>
    <w:pPr>
      <w:spacing w:before="100" w:beforeAutospacing="1" w:after="100" w:afterAutospacing="1" w:line="240" w:lineRule="auto"/>
    </w:pPr>
    <w:rPr>
      <w:rFonts w:ascii="Times New Roman" w:hAnsi="Times New Roman"/>
      <w:sz w:val="24"/>
      <w:szCs w:val="24"/>
    </w:rPr>
  </w:style>
  <w:style w:type="character" w:styleId="Kommentarzeichen">
    <w:name w:val="annotation reference"/>
    <w:basedOn w:val="Absatz-Standardschriftart"/>
    <w:uiPriority w:val="99"/>
    <w:semiHidden/>
    <w:unhideWhenUsed/>
    <w:rsid w:val="007C7153"/>
    <w:rPr>
      <w:sz w:val="16"/>
      <w:szCs w:val="16"/>
    </w:rPr>
  </w:style>
  <w:style w:type="paragraph" w:styleId="Kommentartext">
    <w:name w:val="annotation text"/>
    <w:basedOn w:val="Standard"/>
    <w:link w:val="KommentartextZchn"/>
    <w:uiPriority w:val="99"/>
    <w:semiHidden/>
    <w:unhideWhenUsed/>
    <w:rsid w:val="007C7153"/>
    <w:rPr>
      <w:sz w:val="20"/>
      <w:szCs w:val="20"/>
    </w:rPr>
  </w:style>
  <w:style w:type="character" w:customStyle="1" w:styleId="KommentartextZchn">
    <w:name w:val="Kommentartext Zchn"/>
    <w:basedOn w:val="Absatz-Standardschriftart"/>
    <w:link w:val="Kommentartext"/>
    <w:uiPriority w:val="99"/>
    <w:semiHidden/>
    <w:rsid w:val="007C7153"/>
    <w:rPr>
      <w:rFonts w:ascii="Arial" w:hAnsi="Arial"/>
    </w:rPr>
  </w:style>
  <w:style w:type="paragraph" w:styleId="Kommentarthema">
    <w:name w:val="annotation subject"/>
    <w:basedOn w:val="Kommentartext"/>
    <w:next w:val="Kommentartext"/>
    <w:link w:val="KommentarthemaZchn"/>
    <w:uiPriority w:val="99"/>
    <w:semiHidden/>
    <w:unhideWhenUsed/>
    <w:rsid w:val="007C7153"/>
    <w:rPr>
      <w:b/>
      <w:bCs/>
    </w:rPr>
  </w:style>
  <w:style w:type="character" w:customStyle="1" w:styleId="KommentarthemaZchn">
    <w:name w:val="Kommentarthema Zchn"/>
    <w:basedOn w:val="KommentartextZchn"/>
    <w:link w:val="Kommentarthema"/>
    <w:uiPriority w:val="99"/>
    <w:semiHidden/>
    <w:rsid w:val="007C7153"/>
    <w:rPr>
      <w:rFonts w:ascii="Arial" w:hAnsi="Arial"/>
      <w:b/>
      <w:bCs/>
    </w:rPr>
  </w:style>
  <w:style w:type="paragraph" w:styleId="Sprechblasentext">
    <w:name w:val="Balloon Text"/>
    <w:basedOn w:val="Standard"/>
    <w:link w:val="SprechblasentextZchn"/>
    <w:uiPriority w:val="99"/>
    <w:unhideWhenUsed/>
    <w:rsid w:val="007C715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rsid w:val="007C7153"/>
    <w:rPr>
      <w:rFonts w:ascii="Tahoma" w:hAnsi="Tahoma" w:cs="Tahoma"/>
      <w:sz w:val="16"/>
      <w:szCs w:val="16"/>
    </w:rPr>
  </w:style>
  <w:style w:type="character" w:styleId="Platzhaltertext">
    <w:name w:val="Placeholder Text"/>
    <w:basedOn w:val="Absatz-Standardschriftart"/>
    <w:uiPriority w:val="99"/>
    <w:semiHidden/>
    <w:rsid w:val="001038D6"/>
    <w:rPr>
      <w:color w:val="808080"/>
    </w:rPr>
  </w:style>
  <w:style w:type="character" w:styleId="SchwacherVerweis">
    <w:name w:val="Subtle Reference"/>
    <w:basedOn w:val="Absatz-Standardschriftart"/>
    <w:uiPriority w:val="31"/>
    <w:qFormat/>
    <w:rsid w:val="006035C8"/>
    <w:rPr>
      <w:smallCaps/>
      <w:color w:val="C0504D" w:themeColor="accent2"/>
      <w:u w:val="single"/>
    </w:rPr>
  </w:style>
  <w:style w:type="paragraph" w:styleId="NurText">
    <w:name w:val="Plain Text"/>
    <w:basedOn w:val="Standard"/>
    <w:link w:val="NurTextZchn"/>
    <w:uiPriority w:val="99"/>
    <w:unhideWhenUsed/>
    <w:rsid w:val="00DC4A3E"/>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rsid w:val="00DC4A3E"/>
    <w:rPr>
      <w:rFonts w:ascii="Consolas" w:hAnsi="Consolas"/>
      <w:sz w:val="21"/>
      <w:szCs w:val="21"/>
    </w:rPr>
  </w:style>
  <w:style w:type="character" w:styleId="SchwacheHervorhebung">
    <w:name w:val="Subtle Emphasis"/>
    <w:basedOn w:val="Absatz-Standardschriftart"/>
    <w:uiPriority w:val="19"/>
    <w:qFormat/>
    <w:rsid w:val="00D94381"/>
    <w:rPr>
      <w:i/>
      <w:iCs/>
      <w:color w:val="808080" w:themeColor="text1" w:themeTint="7F"/>
    </w:rPr>
  </w:style>
  <w:style w:type="paragraph" w:styleId="Inhaltsverzeichnisberschrift0">
    <w:name w:val="TOC Heading"/>
    <w:basedOn w:val="berschrift1"/>
    <w:next w:val="Standard"/>
    <w:uiPriority w:val="39"/>
    <w:semiHidden/>
    <w:unhideWhenUsed/>
    <w:qFormat/>
    <w:rsid w:val="00BF6DBB"/>
    <w:pPr>
      <w:pageBreakBefore w:val="0"/>
      <w:numPr>
        <w:numId w:val="0"/>
      </w:numPr>
      <w:spacing w:after="0" w:line="276" w:lineRule="auto"/>
      <w:outlineLvl w:val="9"/>
    </w:pPr>
    <w:rPr>
      <w:rFonts w:asciiTheme="majorHAnsi" w:eastAsiaTheme="majorEastAsia" w:hAnsiTheme="majorHAnsi" w:cstheme="majorBidi"/>
      <w:color w:val="365F91" w:themeColor="accent1" w:themeShade="BF"/>
      <w:sz w:val="28"/>
      <w:lang w:eastAsia="en-US"/>
    </w:rPr>
  </w:style>
  <w:style w:type="paragraph" w:customStyle="1" w:styleId="EndNoteBibliographyTitle">
    <w:name w:val="EndNote Bibliography Title"/>
    <w:basedOn w:val="Standard"/>
    <w:link w:val="EndNoteBibliographyTitleZchn"/>
    <w:rsid w:val="00112412"/>
    <w:pPr>
      <w:spacing w:after="0"/>
      <w:jc w:val="center"/>
    </w:pPr>
    <w:rPr>
      <w:rFonts w:cs="Arial"/>
      <w:noProof/>
    </w:rPr>
  </w:style>
  <w:style w:type="character" w:customStyle="1" w:styleId="EndNoteBibliographyTitleZchn">
    <w:name w:val="EndNote Bibliography Title Zchn"/>
    <w:basedOn w:val="berschrift5Zchn"/>
    <w:link w:val="EndNoteBibliographyTitle"/>
    <w:rsid w:val="00112412"/>
    <w:rPr>
      <w:rFonts w:ascii="Arial" w:hAnsi="Arial" w:cs="Arial"/>
      <w:b w:val="0"/>
      <w:noProof/>
      <w:sz w:val="22"/>
      <w:szCs w:val="22"/>
    </w:rPr>
  </w:style>
  <w:style w:type="paragraph" w:customStyle="1" w:styleId="EndNoteBibliography">
    <w:name w:val="EndNote Bibliography"/>
    <w:basedOn w:val="Standard"/>
    <w:link w:val="EndNoteBibliographyZchn"/>
    <w:rsid w:val="00112412"/>
    <w:pPr>
      <w:spacing w:line="240" w:lineRule="auto"/>
    </w:pPr>
    <w:rPr>
      <w:rFonts w:cs="Arial"/>
      <w:noProof/>
    </w:rPr>
  </w:style>
  <w:style w:type="character" w:customStyle="1" w:styleId="EndNoteBibliographyZchn">
    <w:name w:val="EndNote Bibliography Zchn"/>
    <w:basedOn w:val="berschrift5Zchn"/>
    <w:link w:val="EndNoteBibliography"/>
    <w:rsid w:val="00112412"/>
    <w:rPr>
      <w:rFonts w:ascii="Arial" w:hAnsi="Arial" w:cs="Arial"/>
      <w:b w:val="0"/>
      <w:noProof/>
      <w:sz w:val="22"/>
      <w:szCs w:val="22"/>
    </w:rPr>
  </w:style>
  <w:style w:type="table" w:styleId="MittleresRaster3-Akzent3">
    <w:name w:val="Medium Grid 3 Accent 3"/>
    <w:basedOn w:val="NormaleTabelle"/>
    <w:uiPriority w:val="69"/>
    <w:rsid w:val="00CC09A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271709">
      <w:bodyDiv w:val="1"/>
      <w:marLeft w:val="0"/>
      <w:marRight w:val="0"/>
      <w:marTop w:val="0"/>
      <w:marBottom w:val="0"/>
      <w:divBdr>
        <w:top w:val="none" w:sz="0" w:space="0" w:color="auto"/>
        <w:left w:val="none" w:sz="0" w:space="0" w:color="auto"/>
        <w:bottom w:val="none" w:sz="0" w:space="0" w:color="auto"/>
        <w:right w:val="none" w:sz="0" w:space="0" w:color="auto"/>
      </w:divBdr>
    </w:div>
    <w:div w:id="260724035">
      <w:bodyDiv w:val="1"/>
      <w:marLeft w:val="0"/>
      <w:marRight w:val="0"/>
      <w:marTop w:val="0"/>
      <w:marBottom w:val="0"/>
      <w:divBdr>
        <w:top w:val="none" w:sz="0" w:space="0" w:color="auto"/>
        <w:left w:val="none" w:sz="0" w:space="0" w:color="auto"/>
        <w:bottom w:val="none" w:sz="0" w:space="0" w:color="auto"/>
        <w:right w:val="none" w:sz="0" w:space="0" w:color="auto"/>
      </w:divBdr>
    </w:div>
    <w:div w:id="295307016">
      <w:bodyDiv w:val="1"/>
      <w:marLeft w:val="0"/>
      <w:marRight w:val="0"/>
      <w:marTop w:val="0"/>
      <w:marBottom w:val="0"/>
      <w:divBdr>
        <w:top w:val="none" w:sz="0" w:space="0" w:color="auto"/>
        <w:left w:val="none" w:sz="0" w:space="0" w:color="auto"/>
        <w:bottom w:val="none" w:sz="0" w:space="0" w:color="auto"/>
        <w:right w:val="none" w:sz="0" w:space="0" w:color="auto"/>
      </w:divBdr>
    </w:div>
    <w:div w:id="317920794">
      <w:bodyDiv w:val="1"/>
      <w:marLeft w:val="0"/>
      <w:marRight w:val="0"/>
      <w:marTop w:val="0"/>
      <w:marBottom w:val="0"/>
      <w:divBdr>
        <w:top w:val="none" w:sz="0" w:space="0" w:color="auto"/>
        <w:left w:val="none" w:sz="0" w:space="0" w:color="auto"/>
        <w:bottom w:val="none" w:sz="0" w:space="0" w:color="auto"/>
        <w:right w:val="none" w:sz="0" w:space="0" w:color="auto"/>
      </w:divBdr>
    </w:div>
    <w:div w:id="411584510">
      <w:bodyDiv w:val="1"/>
      <w:marLeft w:val="0"/>
      <w:marRight w:val="0"/>
      <w:marTop w:val="0"/>
      <w:marBottom w:val="0"/>
      <w:divBdr>
        <w:top w:val="none" w:sz="0" w:space="0" w:color="auto"/>
        <w:left w:val="none" w:sz="0" w:space="0" w:color="auto"/>
        <w:bottom w:val="none" w:sz="0" w:space="0" w:color="auto"/>
        <w:right w:val="none" w:sz="0" w:space="0" w:color="auto"/>
      </w:divBdr>
    </w:div>
    <w:div w:id="533930994">
      <w:bodyDiv w:val="1"/>
      <w:marLeft w:val="0"/>
      <w:marRight w:val="0"/>
      <w:marTop w:val="0"/>
      <w:marBottom w:val="0"/>
      <w:divBdr>
        <w:top w:val="none" w:sz="0" w:space="0" w:color="auto"/>
        <w:left w:val="none" w:sz="0" w:space="0" w:color="auto"/>
        <w:bottom w:val="none" w:sz="0" w:space="0" w:color="auto"/>
        <w:right w:val="none" w:sz="0" w:space="0" w:color="auto"/>
      </w:divBdr>
    </w:div>
    <w:div w:id="554514667">
      <w:bodyDiv w:val="1"/>
      <w:marLeft w:val="0"/>
      <w:marRight w:val="0"/>
      <w:marTop w:val="0"/>
      <w:marBottom w:val="0"/>
      <w:divBdr>
        <w:top w:val="none" w:sz="0" w:space="0" w:color="auto"/>
        <w:left w:val="none" w:sz="0" w:space="0" w:color="auto"/>
        <w:bottom w:val="none" w:sz="0" w:space="0" w:color="auto"/>
        <w:right w:val="none" w:sz="0" w:space="0" w:color="auto"/>
      </w:divBdr>
    </w:div>
    <w:div w:id="627315725">
      <w:bodyDiv w:val="1"/>
      <w:marLeft w:val="0"/>
      <w:marRight w:val="0"/>
      <w:marTop w:val="0"/>
      <w:marBottom w:val="0"/>
      <w:divBdr>
        <w:top w:val="none" w:sz="0" w:space="0" w:color="auto"/>
        <w:left w:val="none" w:sz="0" w:space="0" w:color="auto"/>
        <w:bottom w:val="none" w:sz="0" w:space="0" w:color="auto"/>
        <w:right w:val="none" w:sz="0" w:space="0" w:color="auto"/>
      </w:divBdr>
    </w:div>
    <w:div w:id="768934543">
      <w:bodyDiv w:val="1"/>
      <w:marLeft w:val="0"/>
      <w:marRight w:val="0"/>
      <w:marTop w:val="0"/>
      <w:marBottom w:val="0"/>
      <w:divBdr>
        <w:top w:val="none" w:sz="0" w:space="0" w:color="auto"/>
        <w:left w:val="none" w:sz="0" w:space="0" w:color="auto"/>
        <w:bottom w:val="none" w:sz="0" w:space="0" w:color="auto"/>
        <w:right w:val="none" w:sz="0" w:space="0" w:color="auto"/>
      </w:divBdr>
      <w:divsChild>
        <w:div w:id="27072218">
          <w:marLeft w:val="850"/>
          <w:marRight w:val="0"/>
          <w:marTop w:val="0"/>
          <w:marBottom w:val="228"/>
          <w:divBdr>
            <w:top w:val="none" w:sz="0" w:space="0" w:color="auto"/>
            <w:left w:val="none" w:sz="0" w:space="0" w:color="auto"/>
            <w:bottom w:val="none" w:sz="0" w:space="0" w:color="auto"/>
            <w:right w:val="none" w:sz="0" w:space="0" w:color="auto"/>
          </w:divBdr>
        </w:div>
        <w:div w:id="177473403">
          <w:marLeft w:val="850"/>
          <w:marRight w:val="0"/>
          <w:marTop w:val="0"/>
          <w:marBottom w:val="228"/>
          <w:divBdr>
            <w:top w:val="none" w:sz="0" w:space="0" w:color="auto"/>
            <w:left w:val="none" w:sz="0" w:space="0" w:color="auto"/>
            <w:bottom w:val="none" w:sz="0" w:space="0" w:color="auto"/>
            <w:right w:val="none" w:sz="0" w:space="0" w:color="auto"/>
          </w:divBdr>
        </w:div>
        <w:div w:id="394165586">
          <w:marLeft w:val="547"/>
          <w:marRight w:val="0"/>
          <w:marTop w:val="40"/>
          <w:marBottom w:val="203"/>
          <w:divBdr>
            <w:top w:val="none" w:sz="0" w:space="0" w:color="auto"/>
            <w:left w:val="none" w:sz="0" w:space="0" w:color="auto"/>
            <w:bottom w:val="none" w:sz="0" w:space="0" w:color="auto"/>
            <w:right w:val="none" w:sz="0" w:space="0" w:color="auto"/>
          </w:divBdr>
        </w:div>
        <w:div w:id="1035542544">
          <w:marLeft w:val="850"/>
          <w:marRight w:val="0"/>
          <w:marTop w:val="0"/>
          <w:marBottom w:val="228"/>
          <w:divBdr>
            <w:top w:val="none" w:sz="0" w:space="0" w:color="auto"/>
            <w:left w:val="none" w:sz="0" w:space="0" w:color="auto"/>
            <w:bottom w:val="none" w:sz="0" w:space="0" w:color="auto"/>
            <w:right w:val="none" w:sz="0" w:space="0" w:color="auto"/>
          </w:divBdr>
        </w:div>
        <w:div w:id="1409494821">
          <w:marLeft w:val="547"/>
          <w:marRight w:val="0"/>
          <w:marTop w:val="40"/>
          <w:marBottom w:val="203"/>
          <w:divBdr>
            <w:top w:val="none" w:sz="0" w:space="0" w:color="auto"/>
            <w:left w:val="none" w:sz="0" w:space="0" w:color="auto"/>
            <w:bottom w:val="none" w:sz="0" w:space="0" w:color="auto"/>
            <w:right w:val="none" w:sz="0" w:space="0" w:color="auto"/>
          </w:divBdr>
        </w:div>
      </w:divsChild>
    </w:div>
    <w:div w:id="914436275">
      <w:bodyDiv w:val="1"/>
      <w:marLeft w:val="0"/>
      <w:marRight w:val="0"/>
      <w:marTop w:val="0"/>
      <w:marBottom w:val="0"/>
      <w:divBdr>
        <w:top w:val="none" w:sz="0" w:space="0" w:color="auto"/>
        <w:left w:val="none" w:sz="0" w:space="0" w:color="auto"/>
        <w:bottom w:val="none" w:sz="0" w:space="0" w:color="auto"/>
        <w:right w:val="none" w:sz="0" w:space="0" w:color="auto"/>
      </w:divBdr>
      <w:divsChild>
        <w:div w:id="1180044528">
          <w:marLeft w:val="0"/>
          <w:marRight w:val="0"/>
          <w:marTop w:val="0"/>
          <w:marBottom w:val="0"/>
          <w:divBdr>
            <w:top w:val="none" w:sz="0" w:space="0" w:color="auto"/>
            <w:left w:val="none" w:sz="0" w:space="0" w:color="auto"/>
            <w:bottom w:val="none" w:sz="0" w:space="0" w:color="auto"/>
            <w:right w:val="none" w:sz="0" w:space="0" w:color="auto"/>
          </w:divBdr>
        </w:div>
        <w:div w:id="1691486623">
          <w:marLeft w:val="0"/>
          <w:marRight w:val="0"/>
          <w:marTop w:val="0"/>
          <w:marBottom w:val="0"/>
          <w:divBdr>
            <w:top w:val="none" w:sz="0" w:space="0" w:color="auto"/>
            <w:left w:val="none" w:sz="0" w:space="0" w:color="auto"/>
            <w:bottom w:val="none" w:sz="0" w:space="0" w:color="auto"/>
            <w:right w:val="none" w:sz="0" w:space="0" w:color="auto"/>
          </w:divBdr>
        </w:div>
      </w:divsChild>
    </w:div>
    <w:div w:id="1284536604">
      <w:bodyDiv w:val="1"/>
      <w:marLeft w:val="0"/>
      <w:marRight w:val="0"/>
      <w:marTop w:val="0"/>
      <w:marBottom w:val="0"/>
      <w:divBdr>
        <w:top w:val="none" w:sz="0" w:space="0" w:color="auto"/>
        <w:left w:val="none" w:sz="0" w:space="0" w:color="auto"/>
        <w:bottom w:val="none" w:sz="0" w:space="0" w:color="auto"/>
        <w:right w:val="none" w:sz="0" w:space="0" w:color="auto"/>
      </w:divBdr>
    </w:div>
    <w:div w:id="1360426793">
      <w:bodyDiv w:val="1"/>
      <w:marLeft w:val="0"/>
      <w:marRight w:val="0"/>
      <w:marTop w:val="0"/>
      <w:marBottom w:val="0"/>
      <w:divBdr>
        <w:top w:val="none" w:sz="0" w:space="0" w:color="auto"/>
        <w:left w:val="none" w:sz="0" w:space="0" w:color="auto"/>
        <w:bottom w:val="none" w:sz="0" w:space="0" w:color="auto"/>
        <w:right w:val="none" w:sz="0" w:space="0" w:color="auto"/>
      </w:divBdr>
    </w:div>
    <w:div w:id="1512337263">
      <w:bodyDiv w:val="1"/>
      <w:marLeft w:val="0"/>
      <w:marRight w:val="0"/>
      <w:marTop w:val="0"/>
      <w:marBottom w:val="0"/>
      <w:divBdr>
        <w:top w:val="none" w:sz="0" w:space="0" w:color="auto"/>
        <w:left w:val="none" w:sz="0" w:space="0" w:color="auto"/>
        <w:bottom w:val="none" w:sz="0" w:space="0" w:color="auto"/>
        <w:right w:val="none" w:sz="0" w:space="0" w:color="auto"/>
      </w:divBdr>
    </w:div>
    <w:div w:id="1623417428">
      <w:bodyDiv w:val="1"/>
      <w:marLeft w:val="0"/>
      <w:marRight w:val="0"/>
      <w:marTop w:val="0"/>
      <w:marBottom w:val="0"/>
      <w:divBdr>
        <w:top w:val="none" w:sz="0" w:space="0" w:color="auto"/>
        <w:left w:val="none" w:sz="0" w:space="0" w:color="auto"/>
        <w:bottom w:val="none" w:sz="0" w:space="0" w:color="auto"/>
        <w:right w:val="none" w:sz="0" w:space="0" w:color="auto"/>
      </w:divBdr>
    </w:div>
    <w:div w:id="1823541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b:Source>
    <b:Tag>Bru02</b:Tag>
    <b:SourceType>Misc</b:SourceType>
    <b:Guid>{F35BB197-5017-44EA-B4E8-49DE15F576B8}</b:Guid>
    <b:Author>
      <b:Author>
        <b:NameList>
          <b:Person>
            <b:Last>Bruck</b:Last>
            <b:First>Manfred</b:First>
          </b:Person>
          <b:Person>
            <b:Last>Geissler</b:Last>
            <b:First>Susanne</b:First>
          </b:Person>
        </b:NameList>
      </b:Author>
    </b:Author>
    <b:Title>Leitfaden für die TQ Bewertung - Kostengünstige, nutzer- und umweltfreundliche Gebäude</b:Title>
    <b:Year>2002</b:Year>
    <b:Publisher>Version 2.0 des TQ-Bewertungstool vom 20.August</b:Publisher>
    <b:RefOrder>1</b:RefOrder>
  </b:Source>
</b:Sources>
</file>

<file path=customXml/itemProps1.xml><?xml version="1.0" encoding="utf-8"?>
<ds:datastoreItem xmlns:ds="http://schemas.openxmlformats.org/officeDocument/2006/customXml" ds:itemID="{D00C4D86-72BC-4FCA-8954-C34492501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24394</Words>
  <Characters>153689</Characters>
  <Application>Microsoft Office Word</Application>
  <DocSecurity>0</DocSecurity>
  <Lines>1280</Lines>
  <Paragraphs>355</Paragraphs>
  <ScaleCrop>false</ScaleCrop>
  <HeadingPairs>
    <vt:vector size="2" baseType="variant">
      <vt:variant>
        <vt:lpstr>Titel</vt:lpstr>
      </vt:variant>
      <vt:variant>
        <vt:i4>1</vt:i4>
      </vt:variant>
    </vt:vector>
  </HeadingPairs>
  <TitlesOfParts>
    <vt:vector size="1" baseType="lpstr">
      <vt:lpstr/>
    </vt:vector>
  </TitlesOfParts>
  <Company>TU Wien - Studentenversion</Company>
  <LinksUpToDate>false</LinksUpToDate>
  <CharactersWithSpaces>177728</CharactersWithSpaces>
  <SharedDoc>false</SharedDoc>
  <HLinks>
    <vt:vector size="60" baseType="variant">
      <vt:variant>
        <vt:i4>6488110</vt:i4>
      </vt:variant>
      <vt:variant>
        <vt:i4>36</vt:i4>
      </vt:variant>
      <vt:variant>
        <vt:i4>0</vt:i4>
      </vt:variant>
      <vt:variant>
        <vt:i4>5</vt:i4>
      </vt:variant>
      <vt:variant>
        <vt:lpwstr>http://www.task7.org/Public/17theupvsec/paper_task7_17th_eu_pvsec.pdf</vt:lpwstr>
      </vt:variant>
      <vt:variant>
        <vt:lpwstr/>
      </vt:variant>
      <vt:variant>
        <vt:i4>5505054</vt:i4>
      </vt:variant>
      <vt:variant>
        <vt:i4>33</vt:i4>
      </vt:variant>
      <vt:variant>
        <vt:i4>0</vt:i4>
      </vt:variant>
      <vt:variant>
        <vt:i4>5</vt:i4>
      </vt:variant>
      <vt:variant>
        <vt:lpwstr>http://www.nachhaltigwirtschaften.at/nw_pdf/0307_task7.pdf</vt:lpwstr>
      </vt:variant>
      <vt:variant>
        <vt:lpwstr/>
      </vt:variant>
      <vt:variant>
        <vt:i4>9</vt:i4>
      </vt:variant>
      <vt:variant>
        <vt:i4>30</vt:i4>
      </vt:variant>
      <vt:variant>
        <vt:i4>0</vt:i4>
      </vt:variant>
      <vt:variant>
        <vt:i4>5</vt:i4>
      </vt:variant>
      <vt:variant>
        <vt:lpwstr>http://www.pvsunrise.eu/</vt:lpwstr>
      </vt:variant>
      <vt:variant>
        <vt:lpwstr/>
      </vt:variant>
      <vt:variant>
        <vt:i4>5505097</vt:i4>
      </vt:variant>
      <vt:variant>
        <vt:i4>27</vt:i4>
      </vt:variant>
      <vt:variant>
        <vt:i4>0</vt:i4>
      </vt:variant>
      <vt:variant>
        <vt:i4>5</vt:i4>
      </vt:variant>
      <vt:variant>
        <vt:lpwstr>http://www.epia.org/</vt:lpwstr>
      </vt:variant>
      <vt:variant>
        <vt:lpwstr/>
      </vt:variant>
      <vt:variant>
        <vt:i4>7274534</vt:i4>
      </vt:variant>
      <vt:variant>
        <vt:i4>24</vt:i4>
      </vt:variant>
      <vt:variant>
        <vt:i4>0</vt:i4>
      </vt:variant>
      <vt:variant>
        <vt:i4>5</vt:i4>
      </vt:variant>
      <vt:variant>
        <vt:lpwstr>http://www.solarintegration.de/</vt:lpwstr>
      </vt:variant>
      <vt:variant>
        <vt:lpwstr/>
      </vt:variant>
      <vt:variant>
        <vt:i4>8323116</vt:i4>
      </vt:variant>
      <vt:variant>
        <vt:i4>21</vt:i4>
      </vt:variant>
      <vt:variant>
        <vt:i4>0</vt:i4>
      </vt:variant>
      <vt:variant>
        <vt:i4>5</vt:i4>
      </vt:variant>
      <vt:variant>
        <vt:lpwstr>http://www.bipv.ch/</vt:lpwstr>
      </vt:variant>
      <vt:variant>
        <vt:lpwstr/>
      </vt:variant>
      <vt:variant>
        <vt:i4>2031680</vt:i4>
      </vt:variant>
      <vt:variant>
        <vt:i4>18</vt:i4>
      </vt:variant>
      <vt:variant>
        <vt:i4>0</vt:i4>
      </vt:variant>
      <vt:variant>
        <vt:i4>5</vt:i4>
      </vt:variant>
      <vt:variant>
        <vt:lpwstr>http://www.solarfassade.info/</vt:lpwstr>
      </vt:variant>
      <vt:variant>
        <vt:lpwstr/>
      </vt:variant>
      <vt:variant>
        <vt:i4>4849679</vt:i4>
      </vt:variant>
      <vt:variant>
        <vt:i4>12</vt:i4>
      </vt:variant>
      <vt:variant>
        <vt:i4>0</vt:i4>
      </vt:variant>
      <vt:variant>
        <vt:i4>5</vt:i4>
      </vt:variant>
      <vt:variant>
        <vt:lpwstr>http://www.prefa.at/prefalz-solar</vt:lpwstr>
      </vt:variant>
      <vt:variant>
        <vt:lpwstr/>
      </vt:variant>
      <vt:variant>
        <vt:i4>5373953</vt:i4>
      </vt:variant>
      <vt:variant>
        <vt:i4>3</vt:i4>
      </vt:variant>
      <vt:variant>
        <vt:i4>0</vt:i4>
      </vt:variant>
      <vt:variant>
        <vt:i4>5</vt:i4>
      </vt:variant>
      <vt:variant>
        <vt:lpwstr>http://www.solarsiedlung-nuernberg.de/solar-fensterladen.aspx</vt:lpwstr>
      </vt:variant>
      <vt:variant>
        <vt:lpwstr/>
      </vt:variant>
      <vt:variant>
        <vt:i4>3145785</vt:i4>
      </vt:variant>
      <vt:variant>
        <vt:i4>0</vt:i4>
      </vt:variant>
      <vt:variant>
        <vt:i4>0</vt:i4>
      </vt:variant>
      <vt:variant>
        <vt:i4>5</vt:i4>
      </vt:variant>
      <vt:variant>
        <vt:lpwstr>http://www.astrid-schneider.de/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 Christina Ipser</dc:creator>
  <cp:lastModifiedBy>Tobias Steiner</cp:lastModifiedBy>
  <cp:revision>9</cp:revision>
  <cp:lastPrinted>2016-02-18T13:27:00Z</cp:lastPrinted>
  <dcterms:created xsi:type="dcterms:W3CDTF">2017-06-28T13:28:00Z</dcterms:created>
  <dcterms:modified xsi:type="dcterms:W3CDTF">2017-06-28T14:49:00Z</dcterms:modified>
</cp:coreProperties>
</file>